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spacing w:line="560" w:lineRule="exact"/>
        <w:ind w:firstLine="643" w:firstLineChars="200"/>
        <w:textAlignment w:val="auto"/>
        <w:rPr>
          <w:rFonts w:hint="eastAsia" w:ascii="仿宋_GB2312" w:hAnsi="仿宋_GB2312" w:eastAsia="仿宋_GB2312" w:cs="仿宋_GB2312"/>
          <w:b/>
          <w:bCs/>
          <w:kern w:val="56"/>
          <w:sz w:val="32"/>
          <w:szCs w:val="32"/>
          <w:lang w:val="en-US" w:eastAsia="zh-CN"/>
        </w:rPr>
      </w:pPr>
      <w:r>
        <w:rPr>
          <w:rFonts w:hint="eastAsia" w:ascii="仿宋_GB2312" w:hAnsi="仿宋_GB2312" w:eastAsia="仿宋_GB2312" w:cs="仿宋_GB2312"/>
          <w:b/>
          <w:bCs/>
          <w:kern w:val="56"/>
          <w:sz w:val="32"/>
          <w:szCs w:val="32"/>
          <w:lang w:val="en-US" w:eastAsia="zh-CN"/>
        </w:rPr>
        <w:t>附件1：</w:t>
      </w:r>
    </w:p>
    <w:p>
      <w:pPr>
        <w:keepNext w:val="0"/>
        <w:keepLines w:val="0"/>
        <w:pageBreakBefore w:val="0"/>
        <w:widowControl/>
        <w:kinsoku/>
        <w:wordWrap/>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kern w:val="56"/>
          <w:sz w:val="32"/>
          <w:szCs w:val="32"/>
          <w:lang w:val="en-US" w:eastAsia="zh-CN"/>
        </w:rPr>
      </w:pPr>
    </w:p>
    <w:p>
      <w:pPr>
        <w:keepNext w:val="0"/>
        <w:keepLines w:val="0"/>
        <w:pageBreakBefore w:val="0"/>
        <w:widowControl w:val="0"/>
        <w:kinsoku/>
        <w:wordWrap/>
        <w:overflowPunct/>
        <w:topLinePunct/>
        <w:autoSpaceDE/>
        <w:autoSpaceDN/>
        <w:bidi w:val="0"/>
        <w:adjustRightInd/>
        <w:snapToGrid/>
        <w:spacing w:line="1200" w:lineRule="exact"/>
        <w:ind w:left="420" w:leftChars="200" w:right="1890" w:rightChars="900"/>
        <w:jc w:val="distribute"/>
        <w:textAlignment w:val="auto"/>
        <w:rPr>
          <w:rFonts w:ascii="方正小标宋简体" w:hAnsi="华文中宋" w:eastAsia="方正小标宋简体"/>
          <w:color w:val="FF0000"/>
          <w:spacing w:val="51"/>
          <w:w w:val="65"/>
          <w:sz w:val="96"/>
          <w:szCs w:val="96"/>
        </w:rPr>
      </w:pPr>
      <w:bookmarkStart w:id="0" w:name="_GoBack"/>
      <w:bookmarkEnd w:id="0"/>
      <w:r>
        <w:rPr>
          <w:rFonts w:hint="eastAsia" w:ascii="方正小标宋简体" w:hAnsi="华文中宋" w:eastAsia="方正小标宋简体" w:cs="Times New Roman"/>
          <w:color w:val="FF0000"/>
          <w:spacing w:val="68"/>
          <w:w w:val="55"/>
          <w:sz w:val="96"/>
          <w:szCs w:val="96"/>
          <w:lang w:val="en-US" w:eastAsia="zh-CN"/>
        </w:rPr>
        <mc:AlternateContent>
          <mc:Choice Requires="wps">
            <w:drawing>
              <wp:anchor distT="0" distB="0" distL="114300" distR="114300" simplePos="0" relativeHeight="251659264" behindDoc="0" locked="0" layoutInCell="1" allowOverlap="1">
                <wp:simplePos x="0" y="0"/>
                <wp:positionH relativeFrom="column">
                  <wp:posOffset>4456430</wp:posOffset>
                </wp:positionH>
                <wp:positionV relativeFrom="paragraph">
                  <wp:posOffset>229870</wp:posOffset>
                </wp:positionV>
                <wp:extent cx="1078865" cy="1772285"/>
                <wp:effectExtent l="0" t="0" r="0" b="0"/>
                <wp:wrapNone/>
                <wp:docPr id="2" name="文本框 2"/>
                <wp:cNvGraphicFramePr/>
                <a:graphic xmlns:a="http://schemas.openxmlformats.org/drawingml/2006/main">
                  <a:graphicData uri="http://schemas.microsoft.com/office/word/2010/wordprocessingShape">
                    <wps:wsp>
                      <wps:cNvSpPr txBox="1"/>
                      <wps:spPr>
                        <a:xfrm>
                          <a:off x="0" y="0"/>
                          <a:ext cx="1078865" cy="1619885"/>
                        </a:xfrm>
                        <a:prstGeom prst="rect">
                          <a:avLst/>
                        </a:prstGeom>
                        <a:noFill/>
                        <a:ln>
                          <a:noFill/>
                        </a:ln>
                        <a:effectLst/>
                      </wps:spPr>
                      <wps:txbx>
                        <w:txbxContent>
                          <w:p>
                            <w:pPr>
                              <w:rPr>
                                <w:color w:val="FF0000"/>
                                <w:sz w:val="96"/>
                                <w:szCs w:val="96"/>
                              </w:rPr>
                            </w:pPr>
                            <w:r>
                              <w:rPr>
                                <w:rFonts w:hint="eastAsia" w:ascii="方正小标宋简体" w:hAnsi="宋体" w:eastAsia="方正小标宋简体"/>
                                <w:color w:val="FF0000"/>
                                <w:w w:val="55"/>
                                <w:sz w:val="96"/>
                                <w:szCs w:val="96"/>
                              </w:rPr>
                              <w:t>文件</w:t>
                            </w:r>
                          </w:p>
                        </w:txbxContent>
                      </wps:txbx>
                      <wps:bodyPr upright="1">
                        <a:spAutoFit/>
                      </wps:bodyPr>
                    </wps:wsp>
                  </a:graphicData>
                </a:graphic>
                <wp14:sizeRelH relativeFrom="margin">
                  <wp14:pctWidth>0</wp14:pctWidth>
                </wp14:sizeRelH>
                <wp14:sizeRelV relativeFrom="margin">
                  <wp14:pctHeight>20000</wp14:pctHeight>
                </wp14:sizeRelV>
              </wp:anchor>
            </w:drawing>
          </mc:Choice>
          <mc:Fallback>
            <w:pict>
              <v:shape id="_x0000_s1026" o:spid="_x0000_s1026" o:spt="202" type="#_x0000_t202" style="position:absolute;left:0pt;margin-left:350.9pt;margin-top:18.1pt;height:139.55pt;width:84.95pt;z-index:251659264;mso-width-relative:margin;mso-height-relative:margin;mso-height-percent:200;" filled="f" stroked="f" coordsize="21600,21600" o:gfxdata="UEsDBAoAAAAAAIdO4kAAAAAAAAAAAAAAAAAEAAAAZHJzL1BLAwQUAAAACACHTuJA3iMP9NgAAAAK&#10;AQAADwAAAGRycy9kb3ducmV2LnhtbE2PwU7DMBBE70j8g7VI3KjtVDRViFMh1JYjUCLObmySiHht&#10;2W5a/p7lBMedHc28qTcXN7HZxjR6VCAXApjFzpsRewXt++5uDSxljUZPHq2Cb5tg01xf1boy/oxv&#10;dj7knlEIpkorGHIOFeepG6zTaeGDRfp9+uh0pjP23ER9pnA38UKIFXd6RGoYdLBPg+2+DienIOSw&#10;L5/jy+vjdjeL9mPfFmO/Ver2RooHYNle8p8ZfvEJHRpiOvoTmsQmBaWQhJ4VLFcFMDKsS1kCO5Ig&#10;75fAm5r/n9D8AFBLAwQUAAAACACHTuJAsBh1l74BAAB3AwAADgAAAGRycy9lMm9Eb2MueG1srVNL&#10;btswEN0X6B0I7mtJBuKqguWghZFuirZAmgPQFGkR4A8c2pIv0N6gq26677l8jg4pxWmTTRbZUJzf&#10;m3lvqPX1aDQ5igDK2ZZWi5ISYbnrlN239O7bzZuaEojMdkw7K1p6EkCvN69frQffiKXrne5EIAhi&#10;oRl8S/sYfVMUwHthGCycFxaD0gXDIpphX3SBDYhudLEsy1UxuND54LgAQO92CtIZMTwH0EmpuNg6&#10;fjDCxgk1CM0iUoJeeaCbPK2UgscvUoKIRLcUmcZ8YhO879JZbNas2Qfme8XnEdhzRnjEyTBlsekF&#10;assiI4egnkAZxYMDJ+OCO1NMRLIiyKIqH2lz2zMvMheUGvxFdHg5WP75+DUQ1bV0SYllBhd+/vnj&#10;/OvP+fd3skzyDB4azLr1mBfHD27ER3PvB3Qm1qMMJn2RD8E4inu6iCvGSHgqKt/W9eqKEo6xalW9&#10;q+urhFM8lPsA8aNwhqRLSwNuL4vKjp8gTqn3KambdTdK67xBbf9zIObkEfkJzNWJyTRxusVxN870&#10;dq47IbuDD2rfY+MqdwX//hCxRe6cKqY0nDgZuI88+/x20sL/tXPWw/+y+Q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eIw/02AAAAAoBAAAPAAAAAAAAAAEAIAAAACIAAABkcnMvZG93bnJldi54bWxQ&#10;SwECFAAUAAAACACHTuJAsBh1l74BAAB3AwAADgAAAAAAAAABACAAAAAnAQAAZHJzL2Uyb0RvYy54&#10;bWxQSwUGAAAAAAYABgBZAQAAVwUAAAAA&#10;">
                <v:path/>
                <v:fill on="f" focussize="0,0"/>
                <v:stroke on="f"/>
                <v:imagedata o:title=""/>
                <o:lock v:ext="edit" aspectratio="f"/>
                <v:textbox style="mso-fit-shape-to-text:t;">
                  <w:txbxContent>
                    <w:p>
                      <w:pPr>
                        <w:rPr>
                          <w:color w:val="FF0000"/>
                          <w:sz w:val="96"/>
                          <w:szCs w:val="96"/>
                        </w:rPr>
                      </w:pPr>
                      <w:r>
                        <w:rPr>
                          <w:rFonts w:hint="eastAsia" w:ascii="方正小标宋简体" w:hAnsi="宋体" w:eastAsia="方正小标宋简体"/>
                          <w:color w:val="FF0000"/>
                          <w:w w:val="55"/>
                          <w:sz w:val="96"/>
                          <w:szCs w:val="96"/>
                        </w:rPr>
                        <w:t>文件</w:t>
                      </w:r>
                    </w:p>
                  </w:txbxContent>
                </v:textbox>
              </v:shape>
            </w:pict>
          </mc:Fallback>
        </mc:AlternateContent>
      </w:r>
      <w:r>
        <w:rPr>
          <w:rFonts w:hint="eastAsia" w:ascii="方正小标宋简体" w:hAnsi="华文中宋" w:eastAsia="方正小标宋简体" w:cs="Times New Roman"/>
          <w:color w:val="FF0000"/>
          <w:spacing w:val="68"/>
          <w:w w:val="55"/>
          <w:sz w:val="96"/>
          <w:szCs w:val="96"/>
          <w:lang w:val="en-US" w:eastAsia="zh-CN"/>
        </w:rPr>
        <w:t>温州市</w:t>
      </w:r>
      <w:r>
        <w:rPr>
          <w:rFonts w:hint="eastAsia" w:ascii="方正小标宋简体" w:hAnsi="华文中宋" w:eastAsia="方正小标宋简体" w:cs="Times New Roman"/>
          <w:color w:val="FF0000"/>
          <w:spacing w:val="51"/>
          <w:w w:val="55"/>
          <w:sz w:val="96"/>
          <w:szCs w:val="96"/>
          <w:lang w:val="en-US" w:eastAsia="zh-CN"/>
        </w:rPr>
        <w:t>教师教育院</w:t>
      </w:r>
    </w:p>
    <w:p>
      <w:pPr>
        <w:keepNext w:val="0"/>
        <w:keepLines w:val="0"/>
        <w:pageBreakBefore w:val="0"/>
        <w:widowControl w:val="0"/>
        <w:kinsoku/>
        <w:wordWrap/>
        <w:overflowPunct/>
        <w:topLinePunct/>
        <w:autoSpaceDE/>
        <w:autoSpaceDN/>
        <w:bidi w:val="0"/>
        <w:adjustRightInd/>
        <w:snapToGrid/>
        <w:spacing w:line="1200" w:lineRule="exact"/>
        <w:ind w:left="420" w:leftChars="200" w:right="1890" w:rightChars="900"/>
        <w:jc w:val="distribute"/>
        <w:textAlignment w:val="auto"/>
        <w:rPr>
          <w:rFonts w:hint="default" w:ascii="仿宋_GB2312" w:hAnsi="华文中宋" w:eastAsia="仿宋_GB2312"/>
          <w:spacing w:val="57"/>
          <w:sz w:val="28"/>
          <w:szCs w:val="28"/>
          <w:lang w:val="en-US" w:eastAsia="zh-CN"/>
        </w:rPr>
      </w:pPr>
      <w:r>
        <w:rPr>
          <w:rFonts w:hint="eastAsia" w:ascii="方正小标宋简体" w:hAnsi="华文中宋" w:eastAsia="方正小标宋简体" w:cs="Times New Roman"/>
          <w:color w:val="FF0000"/>
          <w:spacing w:val="68"/>
          <w:w w:val="55"/>
          <w:sz w:val="96"/>
          <w:szCs w:val="96"/>
          <w:lang w:val="en-US" w:eastAsia="zh-CN"/>
        </w:rPr>
        <w:t>温州市教育</w:t>
      </w:r>
      <w:r>
        <w:rPr>
          <w:rFonts w:hint="eastAsia" w:ascii="方正小标宋简体" w:hAnsi="华文中宋" w:eastAsia="方正小标宋简体"/>
          <w:color w:val="FF0000"/>
          <w:spacing w:val="113"/>
          <w:w w:val="55"/>
          <w:sz w:val="96"/>
          <w:szCs w:val="96"/>
        </w:rPr>
        <w:t>技术中心</w:t>
      </w:r>
    </w:p>
    <w:p>
      <w:pPr>
        <w:topLinePunct/>
        <w:spacing w:line="720" w:lineRule="exact"/>
        <w:jc w:val="center"/>
        <w:rPr>
          <w:rFonts w:ascii="仿宋_GB2312" w:hAnsi="华文中宋" w:eastAsia="仿宋_GB2312"/>
          <w:sz w:val="32"/>
          <w:szCs w:val="32"/>
        </w:rPr>
      </w:pPr>
    </w:p>
    <w:p>
      <w:pPr>
        <w:spacing w:before="405" w:beforeLines="70"/>
        <w:jc w:val="center"/>
        <w:rPr>
          <w:rFonts w:hint="eastAsia" w:ascii="Times New Roman" w:hAnsi="Times New Roman" w:eastAsia="仿宋_GB2312" w:cs="Times New Roman"/>
          <w:sz w:val="32"/>
        </w:rPr>
      </w:pPr>
      <w:r>
        <w:rPr>
          <w:rFonts w:hint="eastAsia" w:ascii="Times New Roman" w:hAnsi="Times New Roman" w:eastAsia="仿宋_GB2312" w:cs="Times New Roman"/>
          <w:sz w:val="32"/>
        </w:rPr>
        <w:t>温</w:t>
      </w:r>
      <w:r>
        <w:rPr>
          <w:rFonts w:hint="eastAsia" w:ascii="Times New Roman" w:hAnsi="Times New Roman" w:eastAsia="仿宋_GB2312" w:cs="Times New Roman"/>
          <w:sz w:val="32"/>
          <w:lang w:val="en-US" w:eastAsia="zh-CN"/>
        </w:rPr>
        <w:t>师</w:t>
      </w:r>
      <w:r>
        <w:rPr>
          <w:rFonts w:hint="eastAsia" w:ascii="Times New Roman" w:hAnsi="Times New Roman" w:eastAsia="仿宋_GB2312" w:cs="Times New Roman"/>
          <w:sz w:val="32"/>
        </w:rPr>
        <w:t>〔20</w:t>
      </w:r>
      <w:r>
        <w:rPr>
          <w:rFonts w:hint="eastAsia" w:ascii="Times New Roman" w:hAnsi="Times New Roman" w:eastAsia="仿宋_GB2312" w:cs="Times New Roman"/>
          <w:sz w:val="32"/>
          <w:lang w:val="en-US" w:eastAsia="zh-CN"/>
        </w:rPr>
        <w:t>23</w:t>
      </w:r>
      <w:r>
        <w:rPr>
          <w:rFonts w:hint="eastAsia" w:ascii="Times New Roman" w:hAnsi="Times New Roman" w:eastAsia="仿宋_GB2312" w:cs="Times New Roman"/>
          <w:sz w:val="32"/>
        </w:rPr>
        <w:t>〕</w:t>
      </w:r>
      <w:r>
        <w:rPr>
          <w:rFonts w:hint="eastAsia" w:ascii="Times New Roman" w:hAnsi="Times New Roman" w:eastAsia="仿宋_GB2312" w:cs="Times New Roman"/>
          <w:sz w:val="32"/>
          <w:lang w:val="en-US" w:eastAsia="zh-CN"/>
        </w:rPr>
        <w:t>22</w:t>
      </w:r>
      <w:r>
        <w:rPr>
          <w:rFonts w:hint="eastAsia" w:ascii="Times New Roman" w:hAnsi="Times New Roman" w:eastAsia="仿宋_GB2312" w:cs="Times New Roman"/>
          <w:sz w:val="32"/>
        </w:rPr>
        <w:t>号</w:t>
      </w:r>
    </w:p>
    <w:p>
      <w:pPr>
        <w:keepNext w:val="0"/>
        <w:keepLines w:val="0"/>
        <w:pageBreakBefore w:val="0"/>
        <w:widowControl w:val="0"/>
        <w:kinsoku/>
        <w:wordWrap/>
        <w:overflowPunct/>
        <w:topLinePunct w:val="0"/>
        <w:autoSpaceDE/>
        <w:autoSpaceDN/>
        <w:bidi w:val="0"/>
        <w:adjustRightInd/>
        <w:snapToGrid w:val="0"/>
        <w:spacing w:line="80" w:lineRule="exact"/>
        <w:textAlignment w:val="auto"/>
        <w:rPr>
          <w:rFonts w:ascii="仿宋_GB2312" w:eastAsia="仿宋_GB2312"/>
          <w:szCs w:val="21"/>
        </w:rPr>
      </w:pPr>
      <w:r>
        <w:rPr>
          <w:rFonts w:ascii="仿宋_GB2312" w:eastAsia="仿宋_GB2312"/>
          <w:szCs w:val="21"/>
        </w:rPr>
        <w:pict>
          <v:rect id="_x0000_i1025" o:spt="1" style="height:1.5pt;width:442.2pt;" fillcolor="#FF0000" filled="t" stroked="f" coordsize="21600,21600" o:hr="t" o:hrstd="t" o:hrnoshade="t" o:hralign="center">
            <v:path/>
            <v:fill on="t" focussize="0,0"/>
            <v:stroke on="f"/>
            <v:imagedata o:title=""/>
            <o:lock v:ext="edit"/>
            <w10:wrap type="none"/>
            <w10:anchorlock/>
          </v:rect>
        </w:pict>
      </w:r>
    </w:p>
    <w:p>
      <w:pPr>
        <w:adjustRightInd w:val="0"/>
        <w:snapToGrid w:val="0"/>
        <w:spacing w:line="560" w:lineRule="exact"/>
        <w:jc w:val="center"/>
        <w:rPr>
          <w:rFonts w:hint="eastAsia" w:eastAsia="仿宋_GB2312"/>
          <w:sz w:val="32"/>
        </w:rPr>
      </w:pPr>
      <w:r>
        <w:rPr>
          <w:rFonts w:hint="eastAsia" w:eastAsia="仿宋_GB2312"/>
          <w:sz w:val="32"/>
        </w:rPr>
        <w:t xml:space="preserve">   </w:t>
      </w:r>
    </w:p>
    <w:p>
      <w:pPr>
        <w:keepNext w:val="0"/>
        <w:keepLines w:val="0"/>
        <w:pageBreakBefore w:val="0"/>
        <w:widowControl w:val="0"/>
        <w:kinsoku/>
        <w:wordWrap/>
        <w:overflowPunct/>
        <w:topLinePunct w:val="0"/>
        <w:autoSpaceDE/>
        <w:autoSpaceDN/>
        <w:bidi w:val="0"/>
        <w:adjustRightInd w:val="0"/>
        <w:snapToGrid w:val="0"/>
        <w:spacing w:line="64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lang w:val="en-US" w:eastAsia="zh-CN"/>
        </w:rPr>
        <w:t xml:space="preserve"> </w:t>
      </w:r>
      <w:r>
        <w:rPr>
          <w:rFonts w:hint="eastAsia" w:ascii="方正小标宋简体" w:eastAsia="方正小标宋简体"/>
          <w:sz w:val="44"/>
          <w:szCs w:val="44"/>
        </w:rPr>
        <w:t>温州市教师教育院 温州市教育技术中心</w:t>
      </w:r>
    </w:p>
    <w:p>
      <w:pPr>
        <w:keepNext w:val="0"/>
        <w:keepLines w:val="0"/>
        <w:pageBreakBefore w:val="0"/>
        <w:widowControl w:val="0"/>
        <w:kinsoku/>
        <w:wordWrap/>
        <w:overflowPunct/>
        <w:topLinePunct w:val="0"/>
        <w:autoSpaceDE/>
        <w:autoSpaceDN/>
        <w:bidi w:val="0"/>
        <w:adjustRightInd w:val="0"/>
        <w:snapToGrid w:val="0"/>
        <w:spacing w:line="64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关于开展202</w:t>
      </w:r>
      <w:r>
        <w:rPr>
          <w:rFonts w:hint="eastAsia" w:ascii="方正小标宋简体" w:eastAsia="方正小标宋简体"/>
          <w:sz w:val="44"/>
          <w:szCs w:val="44"/>
          <w:lang w:val="en-US" w:eastAsia="zh-CN"/>
        </w:rPr>
        <w:t>3</w:t>
      </w:r>
      <w:r>
        <w:rPr>
          <w:rFonts w:hint="eastAsia" w:ascii="方正小标宋简体" w:eastAsia="方正小标宋简体"/>
          <w:sz w:val="44"/>
          <w:szCs w:val="44"/>
        </w:rPr>
        <w:t>年温州市中小学主题班会微课短视频征集与评选活动的通知</w:t>
      </w:r>
    </w:p>
    <w:p>
      <w:pPr>
        <w:adjustRightInd w:val="0"/>
        <w:snapToGrid w:val="0"/>
        <w:spacing w:line="560" w:lineRule="exact"/>
        <w:jc w:val="center"/>
        <w:rPr>
          <w:rFonts w:hint="eastAsia" w:ascii="方正小标宋简体" w:eastAsia="方正小标宋简体"/>
          <w:sz w:val="44"/>
          <w:szCs w:val="44"/>
        </w:rPr>
      </w:pPr>
    </w:p>
    <w:p>
      <w:pPr>
        <w:keepNext w:val="0"/>
        <w:keepLines w:val="0"/>
        <w:pageBreakBefore w:val="0"/>
        <w:widowControl/>
        <w:kinsoku/>
        <w:wordWrap/>
        <w:overflowPunct/>
        <w:topLinePunct w:val="0"/>
        <w:autoSpaceDE/>
        <w:autoSpaceDN/>
        <w:bidi w:val="0"/>
        <w:adjustRightInd w:val="0"/>
        <w:snapToGrid/>
        <w:spacing w:line="560" w:lineRule="exact"/>
        <w:textAlignment w:val="auto"/>
        <w:rPr>
          <w:rFonts w:hint="eastAsia" w:ascii="仿宋_GB2312" w:hAnsi="仿宋_GB2312" w:eastAsia="仿宋_GB2312" w:cs="仿宋_GB2312"/>
          <w:kern w:val="56"/>
          <w:sz w:val="32"/>
          <w:szCs w:val="32"/>
        </w:rPr>
      </w:pPr>
      <w:r>
        <w:rPr>
          <w:rFonts w:hint="eastAsia" w:ascii="仿宋_GB2312" w:hAnsi="仿宋_GB2312" w:eastAsia="仿宋_GB2312" w:cs="仿宋_GB2312"/>
          <w:kern w:val="56"/>
          <w:sz w:val="32"/>
          <w:szCs w:val="32"/>
        </w:rPr>
        <w:t>各县（市、区）教育局研训部门、教育技术部门，市局直属各学校：</w:t>
      </w:r>
    </w:p>
    <w:p>
      <w:pPr>
        <w:keepNext w:val="0"/>
        <w:keepLines w:val="0"/>
        <w:pageBreakBefore w:val="0"/>
        <w:widowControl/>
        <w:kinsoku/>
        <w:wordWrap/>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kern w:val="56"/>
          <w:sz w:val="32"/>
          <w:szCs w:val="32"/>
        </w:rPr>
      </w:pPr>
      <w:r>
        <w:rPr>
          <w:rFonts w:hint="eastAsia" w:ascii="仿宋_GB2312" w:hAnsi="仿宋_GB2312" w:eastAsia="仿宋_GB2312" w:cs="仿宋_GB2312"/>
          <w:kern w:val="56"/>
          <w:sz w:val="32"/>
          <w:szCs w:val="32"/>
        </w:rPr>
        <w:t>为</w:t>
      </w:r>
      <w:r>
        <w:rPr>
          <w:rFonts w:hint="eastAsia" w:ascii="仿宋_GB2312" w:hAnsi="仿宋_GB2312" w:eastAsia="仿宋_GB2312" w:cs="仿宋_GB2312"/>
          <w:kern w:val="56"/>
          <w:sz w:val="32"/>
          <w:szCs w:val="32"/>
          <w:lang w:val="en-US" w:eastAsia="zh-CN"/>
        </w:rPr>
        <w:t>提高</w:t>
      </w:r>
      <w:r>
        <w:rPr>
          <w:rFonts w:hint="eastAsia" w:ascii="仿宋_GB2312" w:hAnsi="仿宋_GB2312" w:eastAsia="仿宋_GB2312" w:cs="仿宋_GB2312"/>
          <w:kern w:val="56"/>
          <w:sz w:val="32"/>
          <w:szCs w:val="32"/>
          <w:lang w:eastAsia="zh-CN"/>
        </w:rPr>
        <w:t>全市中小学生</w:t>
      </w:r>
      <w:r>
        <w:rPr>
          <w:rFonts w:hint="eastAsia" w:ascii="仿宋_GB2312" w:hAnsi="仿宋_GB2312" w:eastAsia="仿宋_GB2312" w:cs="仿宋_GB2312"/>
          <w:kern w:val="56"/>
          <w:sz w:val="32"/>
          <w:szCs w:val="32"/>
          <w:lang w:val="en-US" w:eastAsia="zh-CN"/>
        </w:rPr>
        <w:t>思想修养,确立正确人生观,增强班级凝聚力</w:t>
      </w:r>
      <w:r>
        <w:rPr>
          <w:rFonts w:hint="eastAsia" w:ascii="仿宋_GB2312" w:hAnsi="仿宋_GB2312" w:eastAsia="仿宋_GB2312" w:cs="仿宋_GB2312"/>
          <w:kern w:val="56"/>
          <w:sz w:val="32"/>
          <w:szCs w:val="32"/>
        </w:rPr>
        <w:t>，服务温州“未来教育”体系建设，为全市学生提供优质在线学习资源，有效落实教育资源均衡覆盖的惠民措施，决定开展</w:t>
      </w:r>
      <w:r>
        <w:rPr>
          <w:rFonts w:hint="eastAsia" w:ascii="仿宋_GB2312" w:hAnsi="仿宋_GB2312" w:eastAsia="仿宋_GB2312" w:cs="仿宋_GB2312"/>
          <w:kern w:val="56"/>
          <w:sz w:val="32"/>
          <w:szCs w:val="32"/>
          <w:lang w:val="en-US" w:eastAsia="zh-CN"/>
        </w:rPr>
        <w:t>市</w:t>
      </w:r>
      <w:r>
        <w:rPr>
          <w:rFonts w:hint="eastAsia" w:ascii="仿宋_GB2312" w:hAnsi="仿宋_GB2312" w:eastAsia="仿宋_GB2312" w:cs="仿宋_GB2312"/>
          <w:kern w:val="56"/>
          <w:sz w:val="32"/>
          <w:szCs w:val="32"/>
          <w:lang w:eastAsia="zh-CN"/>
        </w:rPr>
        <w:t>中小学主题班会</w:t>
      </w:r>
      <w:r>
        <w:rPr>
          <w:rFonts w:hint="eastAsia" w:ascii="仿宋_GB2312" w:hAnsi="仿宋_GB2312" w:eastAsia="仿宋_GB2312" w:cs="仿宋_GB2312"/>
          <w:kern w:val="56"/>
          <w:sz w:val="32"/>
          <w:szCs w:val="32"/>
        </w:rPr>
        <w:t>微课短视频征集与评选活动。现将有关事项通知如下：</w:t>
      </w:r>
    </w:p>
    <w:p>
      <w:pPr>
        <w:keepNext w:val="0"/>
        <w:keepLines w:val="0"/>
        <w:pageBreakBefore w:val="0"/>
        <w:widowControl/>
        <w:kinsoku/>
        <w:wordWrap/>
        <w:overflowPunct/>
        <w:topLinePunct w:val="0"/>
        <w:autoSpaceDE/>
        <w:autoSpaceDN/>
        <w:bidi w:val="0"/>
        <w:adjustRightInd w:val="0"/>
        <w:snapToGrid/>
        <w:spacing w:line="560" w:lineRule="exact"/>
        <w:ind w:firstLine="640" w:firstLineChars="200"/>
        <w:textAlignment w:val="auto"/>
        <w:rPr>
          <w:rFonts w:hint="eastAsia" w:ascii="黑体" w:hAnsi="黑体" w:eastAsia="黑体" w:cs="黑体"/>
          <w:kern w:val="56"/>
          <w:sz w:val="32"/>
          <w:szCs w:val="32"/>
        </w:rPr>
      </w:pPr>
      <w:r>
        <w:rPr>
          <w:rFonts w:hint="eastAsia" w:ascii="黑体" w:hAnsi="黑体" w:eastAsia="黑体" w:cs="黑体"/>
          <w:kern w:val="56"/>
          <w:sz w:val="32"/>
          <w:szCs w:val="32"/>
        </w:rPr>
        <w:t>一、参加对象</w:t>
      </w:r>
    </w:p>
    <w:p>
      <w:pPr>
        <w:keepNext w:val="0"/>
        <w:keepLines w:val="0"/>
        <w:pageBreakBefore w:val="0"/>
        <w:widowControl/>
        <w:kinsoku/>
        <w:wordWrap/>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kern w:val="56"/>
          <w:sz w:val="32"/>
          <w:szCs w:val="32"/>
        </w:rPr>
      </w:pPr>
      <w:r>
        <w:rPr>
          <w:rFonts w:hint="eastAsia" w:ascii="仿宋_GB2312" w:hAnsi="仿宋_GB2312" w:eastAsia="仿宋_GB2312" w:cs="仿宋_GB2312"/>
          <w:kern w:val="56"/>
          <w:sz w:val="32"/>
          <w:szCs w:val="32"/>
        </w:rPr>
        <w:t>全市</w:t>
      </w:r>
      <w:r>
        <w:rPr>
          <w:rFonts w:hint="eastAsia" w:ascii="仿宋_GB2312" w:hAnsi="仿宋_GB2312" w:eastAsia="仿宋_GB2312" w:cs="仿宋_GB2312"/>
          <w:kern w:val="56"/>
          <w:sz w:val="32"/>
          <w:szCs w:val="32"/>
          <w:lang w:eastAsia="zh-CN"/>
        </w:rPr>
        <w:t>中小学班主任及科任教师</w:t>
      </w:r>
      <w:r>
        <w:rPr>
          <w:rFonts w:hint="eastAsia" w:ascii="仿宋_GB2312" w:hAnsi="仿宋_GB2312" w:eastAsia="仿宋_GB2312" w:cs="仿宋_GB2312"/>
          <w:kern w:val="56"/>
          <w:sz w:val="32"/>
          <w:szCs w:val="32"/>
        </w:rPr>
        <w:t>。</w:t>
      </w:r>
    </w:p>
    <w:p>
      <w:pPr>
        <w:keepNext w:val="0"/>
        <w:keepLines w:val="0"/>
        <w:pageBreakBefore w:val="0"/>
        <w:widowControl/>
        <w:kinsoku/>
        <w:wordWrap/>
        <w:overflowPunct/>
        <w:topLinePunct w:val="0"/>
        <w:autoSpaceDE/>
        <w:autoSpaceDN/>
        <w:bidi w:val="0"/>
        <w:adjustRightInd w:val="0"/>
        <w:snapToGrid/>
        <w:spacing w:line="560" w:lineRule="exact"/>
        <w:ind w:firstLine="640" w:firstLineChars="200"/>
        <w:textAlignment w:val="auto"/>
        <w:rPr>
          <w:rFonts w:hint="eastAsia" w:ascii="黑体" w:hAnsi="黑体" w:eastAsia="黑体" w:cs="黑体"/>
          <w:kern w:val="56"/>
          <w:sz w:val="32"/>
          <w:szCs w:val="32"/>
        </w:rPr>
      </w:pPr>
      <w:r>
        <w:rPr>
          <w:rFonts w:hint="eastAsia" w:ascii="黑体" w:hAnsi="黑体" w:eastAsia="黑体" w:cs="黑体"/>
          <w:kern w:val="56"/>
          <w:sz w:val="32"/>
          <w:szCs w:val="32"/>
        </w:rPr>
        <w:t>二、参评要求</w:t>
      </w:r>
    </w:p>
    <w:p>
      <w:pPr>
        <w:pStyle w:val="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kern w:val="56"/>
          <w:sz w:val="32"/>
          <w:szCs w:val="32"/>
          <w:lang w:eastAsia="zh-CN"/>
        </w:rPr>
      </w:pPr>
      <w:r>
        <w:rPr>
          <w:rFonts w:hint="eastAsia" w:ascii="仿宋_GB2312" w:hAnsi="仿宋_GB2312" w:eastAsia="仿宋_GB2312" w:cs="仿宋_GB2312"/>
          <w:kern w:val="56"/>
          <w:sz w:val="32"/>
          <w:szCs w:val="32"/>
          <w:lang w:val="en-US" w:eastAsia="zh-CN"/>
        </w:rPr>
        <w:t>1</w:t>
      </w:r>
      <w:r>
        <w:rPr>
          <w:rFonts w:hint="eastAsia" w:ascii="仿宋_GB2312" w:hAnsi="仿宋_GB2312" w:eastAsia="仿宋_GB2312" w:cs="仿宋_GB2312"/>
          <w:kern w:val="56"/>
          <w:sz w:val="32"/>
          <w:szCs w:val="32"/>
        </w:rPr>
        <w:t>.短视频</w:t>
      </w:r>
      <w:r>
        <w:rPr>
          <w:rFonts w:hint="eastAsia" w:ascii="仿宋_GB2312" w:hAnsi="仿宋_GB2312" w:eastAsia="仿宋_GB2312" w:cs="仿宋_GB2312"/>
          <w:kern w:val="56"/>
          <w:sz w:val="32"/>
          <w:szCs w:val="32"/>
          <w:lang w:eastAsia="zh-CN"/>
        </w:rPr>
        <w:t>为微课一种类别，</w:t>
      </w:r>
      <w:r>
        <w:rPr>
          <w:rFonts w:hint="eastAsia" w:ascii="仿宋_GB2312" w:hAnsi="仿宋_GB2312" w:eastAsia="仿宋_GB2312" w:cs="仿宋_GB2312"/>
          <w:kern w:val="56"/>
          <w:sz w:val="32"/>
          <w:szCs w:val="32"/>
        </w:rPr>
        <w:t>应注重亲和力和针对性</w:t>
      </w:r>
      <w:r>
        <w:rPr>
          <w:rFonts w:hint="eastAsia" w:ascii="仿宋_GB2312" w:hAnsi="仿宋_GB2312" w:eastAsia="仿宋_GB2312" w:cs="仿宋_GB2312"/>
          <w:kern w:val="56"/>
          <w:sz w:val="32"/>
          <w:szCs w:val="32"/>
          <w:lang w:eastAsia="zh-CN"/>
        </w:rPr>
        <w:t>，各学科具体类别和</w:t>
      </w:r>
      <w:r>
        <w:rPr>
          <w:rFonts w:hint="eastAsia" w:ascii="仿宋_GB2312" w:hAnsi="仿宋_GB2312" w:eastAsia="仿宋_GB2312" w:cs="仿宋_GB2312"/>
          <w:kern w:val="56"/>
          <w:sz w:val="32"/>
          <w:szCs w:val="32"/>
        </w:rPr>
        <w:t>内容</w:t>
      </w:r>
      <w:r>
        <w:rPr>
          <w:rFonts w:hint="eastAsia" w:ascii="仿宋_GB2312" w:hAnsi="仿宋_GB2312" w:eastAsia="仿宋_GB2312" w:cs="仿宋_GB2312"/>
          <w:kern w:val="56"/>
          <w:sz w:val="32"/>
          <w:szCs w:val="32"/>
          <w:lang w:eastAsia="zh-CN"/>
        </w:rPr>
        <w:t>要求</w:t>
      </w:r>
      <w:r>
        <w:rPr>
          <w:rFonts w:hint="eastAsia" w:ascii="仿宋_GB2312" w:hAnsi="仿宋_GB2312" w:eastAsia="仿宋_GB2312" w:cs="仿宋_GB2312"/>
          <w:kern w:val="56"/>
          <w:sz w:val="32"/>
          <w:szCs w:val="32"/>
        </w:rPr>
        <w:t>详见附件</w:t>
      </w:r>
      <w:r>
        <w:rPr>
          <w:rFonts w:hint="eastAsia" w:ascii="仿宋_GB2312" w:hAnsi="仿宋_GB2312" w:eastAsia="仿宋_GB2312" w:cs="仿宋_GB2312"/>
          <w:kern w:val="56"/>
          <w:sz w:val="32"/>
          <w:szCs w:val="32"/>
          <w:lang w:eastAsia="zh-CN"/>
        </w:rPr>
        <w:t>。</w:t>
      </w:r>
    </w:p>
    <w:p>
      <w:pPr>
        <w:pStyle w:val="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kern w:val="56"/>
          <w:sz w:val="32"/>
          <w:szCs w:val="32"/>
          <w:lang w:val="en"/>
        </w:rPr>
      </w:pPr>
      <w:r>
        <w:rPr>
          <w:rFonts w:hint="eastAsia" w:ascii="仿宋_GB2312" w:hAnsi="仿宋_GB2312" w:eastAsia="仿宋_GB2312" w:cs="仿宋_GB2312"/>
          <w:color w:val="auto"/>
          <w:kern w:val="56"/>
          <w:sz w:val="32"/>
          <w:szCs w:val="32"/>
          <w:lang w:val="en-US" w:eastAsia="zh-CN"/>
        </w:rPr>
        <w:t>2</w:t>
      </w:r>
      <w:r>
        <w:rPr>
          <w:rFonts w:hint="eastAsia" w:ascii="仿宋_GB2312" w:hAnsi="仿宋_GB2312" w:eastAsia="仿宋_GB2312" w:cs="仿宋_GB2312"/>
          <w:color w:val="auto"/>
          <w:kern w:val="56"/>
          <w:sz w:val="32"/>
          <w:szCs w:val="32"/>
        </w:rPr>
        <w:t>.短视频时长</w:t>
      </w:r>
      <w:r>
        <w:rPr>
          <w:rFonts w:hint="eastAsia" w:ascii="仿宋_GB2312" w:hAnsi="仿宋_GB2312" w:eastAsia="仿宋_GB2312" w:cs="仿宋_GB2312"/>
          <w:color w:val="auto"/>
          <w:kern w:val="56"/>
          <w:sz w:val="32"/>
          <w:szCs w:val="32"/>
          <w:lang w:eastAsia="zh-CN"/>
        </w:rPr>
        <w:t>：</w:t>
      </w:r>
      <w:r>
        <w:rPr>
          <w:rFonts w:hint="eastAsia" w:ascii="仿宋_GB2312" w:hAnsi="仿宋_GB2312" w:eastAsia="仿宋_GB2312" w:cs="仿宋_GB2312"/>
          <w:kern w:val="56"/>
          <w:sz w:val="32"/>
          <w:szCs w:val="32"/>
          <w:lang w:val="en-US" w:eastAsia="zh-CN"/>
        </w:rPr>
        <w:t>10-15</w:t>
      </w:r>
      <w:r>
        <w:rPr>
          <w:rFonts w:hint="eastAsia" w:ascii="仿宋_GB2312" w:hAnsi="仿宋_GB2312" w:eastAsia="仿宋_GB2312" w:cs="仿宋_GB2312"/>
          <w:kern w:val="56"/>
          <w:sz w:val="32"/>
          <w:szCs w:val="32"/>
          <w:lang w:eastAsia="zh-CN"/>
        </w:rPr>
        <w:t>分钟左右，</w:t>
      </w:r>
      <w:r>
        <w:rPr>
          <w:rFonts w:hint="eastAsia" w:ascii="仿宋_GB2312" w:hAnsi="仿宋_GB2312" w:eastAsia="仿宋_GB2312" w:cs="仿宋_GB2312"/>
          <w:color w:val="auto"/>
          <w:kern w:val="56"/>
          <w:sz w:val="32"/>
          <w:szCs w:val="32"/>
        </w:rPr>
        <w:t>含</w:t>
      </w:r>
      <w:r>
        <w:rPr>
          <w:rFonts w:hint="eastAsia" w:ascii="仿宋_GB2312" w:hAnsi="仿宋_GB2312" w:eastAsia="仿宋_GB2312" w:cs="仿宋_GB2312"/>
          <w:color w:val="auto"/>
          <w:kern w:val="56"/>
          <w:sz w:val="32"/>
          <w:szCs w:val="32"/>
          <w:lang w:eastAsia="zh-CN"/>
        </w:rPr>
        <w:t>分别不超过</w:t>
      </w:r>
      <w:r>
        <w:rPr>
          <w:rFonts w:hint="eastAsia" w:ascii="仿宋_GB2312" w:hAnsi="仿宋_GB2312" w:eastAsia="仿宋_GB2312" w:cs="仿宋_GB2312"/>
          <w:color w:val="auto"/>
          <w:kern w:val="56"/>
          <w:sz w:val="32"/>
          <w:szCs w:val="32"/>
          <w:lang w:val="en-US" w:eastAsia="zh-CN"/>
        </w:rPr>
        <w:t>5秒的</w:t>
      </w:r>
      <w:r>
        <w:rPr>
          <w:rFonts w:hint="eastAsia" w:ascii="仿宋_GB2312" w:hAnsi="仿宋_GB2312" w:eastAsia="仿宋_GB2312" w:cs="仿宋_GB2312"/>
          <w:color w:val="auto"/>
          <w:kern w:val="56"/>
          <w:sz w:val="32"/>
          <w:szCs w:val="32"/>
        </w:rPr>
        <w:t>片头</w:t>
      </w:r>
      <w:r>
        <w:rPr>
          <w:rFonts w:hint="eastAsia" w:ascii="仿宋_GB2312" w:hAnsi="仿宋_GB2312" w:eastAsia="仿宋_GB2312" w:cs="仿宋_GB2312"/>
          <w:color w:val="auto"/>
          <w:kern w:val="56"/>
          <w:sz w:val="32"/>
          <w:szCs w:val="32"/>
          <w:lang w:eastAsia="zh-CN"/>
        </w:rPr>
        <w:t>和片尾</w:t>
      </w:r>
      <w:r>
        <w:rPr>
          <w:rFonts w:hint="eastAsia" w:ascii="仿宋_GB2312" w:hAnsi="仿宋_GB2312" w:eastAsia="仿宋_GB2312" w:cs="仿宋_GB2312"/>
          <w:color w:val="auto"/>
          <w:kern w:val="56"/>
          <w:sz w:val="32"/>
          <w:szCs w:val="32"/>
        </w:rPr>
        <w:t>画面</w:t>
      </w:r>
      <w:r>
        <w:rPr>
          <w:rFonts w:hint="eastAsia" w:ascii="仿宋_GB2312" w:hAnsi="仿宋_GB2312" w:eastAsia="仿宋_GB2312" w:cs="仿宋_GB2312"/>
          <w:color w:val="auto"/>
          <w:kern w:val="56"/>
          <w:sz w:val="32"/>
          <w:szCs w:val="32"/>
          <w:lang w:eastAsia="zh-CN"/>
        </w:rPr>
        <w:t>，原则上采用</w:t>
      </w:r>
      <w:r>
        <w:rPr>
          <w:rFonts w:hint="eastAsia" w:ascii="仿宋_GB2312" w:hAnsi="仿宋_GB2312" w:eastAsia="仿宋_GB2312" w:cs="仿宋_GB2312"/>
          <w:color w:val="auto"/>
          <w:kern w:val="56"/>
          <w:sz w:val="32"/>
          <w:szCs w:val="32"/>
          <w:lang w:val="en-US" w:eastAsia="zh-CN"/>
        </w:rPr>
        <w:t>PPT录屏方式录制，模板统一提供。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color w:val="auto"/>
          <w:kern w:val="56"/>
          <w:sz w:val="32"/>
          <w:szCs w:val="32"/>
          <w:lang w:eastAsia="zh-CN"/>
        </w:rPr>
      </w:pPr>
      <w:r>
        <w:rPr>
          <w:rFonts w:hint="eastAsia" w:ascii="仿宋_GB2312" w:hAnsi="仿宋_GB2312" w:eastAsia="仿宋_GB2312" w:cs="仿宋_GB2312"/>
          <w:color w:val="auto"/>
          <w:kern w:val="56"/>
          <w:sz w:val="32"/>
          <w:szCs w:val="32"/>
        </w:rPr>
        <w:t>3.视频采用MP4格式，视频画面的比例为16∶9，大小不超过500M，编码格式H.264/25 帧，分辨率1920*1080P</w:t>
      </w:r>
      <w:r>
        <w:rPr>
          <w:rFonts w:hint="eastAsia" w:ascii="仿宋_GB2312" w:hAnsi="仿宋_GB2312" w:eastAsia="仿宋_GB2312" w:cs="仿宋_GB2312"/>
          <w:color w:val="auto"/>
          <w:kern w:val="56"/>
          <w:sz w:val="32"/>
          <w:szCs w:val="32"/>
          <w:lang w:eastAsia="zh-CN"/>
        </w:rPr>
        <w:t>。鼓励教师对微课视频文件进行后期编制，可根据教学内容要求适当调整屏幕大小，布局美观大方。</w:t>
      </w:r>
    </w:p>
    <w:p>
      <w:pPr>
        <w:pStyle w:val="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kern w:val="56"/>
          <w:sz w:val="32"/>
          <w:szCs w:val="32"/>
          <w:lang w:val="en-US" w:eastAsia="zh-CN"/>
        </w:rPr>
      </w:pPr>
      <w:r>
        <w:rPr>
          <w:rFonts w:hint="eastAsia" w:ascii="仿宋_GB2312" w:hAnsi="仿宋_GB2312" w:eastAsia="仿宋_GB2312" w:cs="仿宋_GB2312"/>
          <w:color w:val="auto"/>
          <w:kern w:val="56"/>
          <w:sz w:val="32"/>
          <w:szCs w:val="32"/>
          <w:lang w:val="en-US" w:eastAsia="zh-CN"/>
        </w:rPr>
        <w:t>4.引用他人的音乐、图片、视频及其它资源，需在视频中适当位置</w:t>
      </w:r>
      <w:r>
        <w:rPr>
          <w:rFonts w:hint="eastAsia" w:ascii="仿宋_GB2312" w:hAnsi="仿宋_GB2312" w:eastAsia="仿宋_GB2312" w:cs="仿宋_GB2312"/>
          <w:color w:val="auto"/>
          <w:kern w:val="56"/>
          <w:sz w:val="32"/>
          <w:szCs w:val="32"/>
          <w:lang w:eastAsia="zh-CN"/>
        </w:rPr>
        <w:t>以文字和链接等方式</w:t>
      </w:r>
      <w:r>
        <w:rPr>
          <w:rFonts w:hint="eastAsia" w:ascii="仿宋_GB2312" w:hAnsi="仿宋_GB2312" w:eastAsia="仿宋_GB2312" w:cs="仿宋_GB2312"/>
          <w:color w:val="auto"/>
          <w:kern w:val="56"/>
          <w:sz w:val="32"/>
          <w:szCs w:val="32"/>
          <w:lang w:val="en-US" w:eastAsia="zh-CN"/>
        </w:rPr>
        <w:t>注明出处及来源，且无版权争议，不作说明的视为原创，作者须承担法律责任。</w:t>
      </w:r>
    </w:p>
    <w:p>
      <w:pPr>
        <w:pStyle w:val="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kern w:val="56"/>
          <w:sz w:val="32"/>
          <w:szCs w:val="32"/>
        </w:rPr>
      </w:pPr>
      <w:r>
        <w:rPr>
          <w:rFonts w:hint="eastAsia" w:ascii="仿宋_GB2312" w:hAnsi="仿宋_GB2312" w:eastAsia="仿宋_GB2312" w:cs="仿宋_GB2312"/>
          <w:color w:val="auto"/>
          <w:kern w:val="56"/>
          <w:sz w:val="32"/>
          <w:szCs w:val="32"/>
          <w:lang w:val="en-US" w:eastAsia="zh-CN"/>
        </w:rPr>
        <w:t>5</w:t>
      </w:r>
      <w:r>
        <w:rPr>
          <w:rFonts w:hint="eastAsia" w:ascii="仿宋_GB2312" w:hAnsi="仿宋_GB2312" w:eastAsia="仿宋_GB2312" w:cs="仿宋_GB2312"/>
          <w:color w:val="auto"/>
          <w:kern w:val="56"/>
          <w:sz w:val="32"/>
          <w:szCs w:val="32"/>
        </w:rPr>
        <w:t>.</w:t>
      </w:r>
      <w:r>
        <w:rPr>
          <w:rFonts w:hint="eastAsia" w:ascii="仿宋_GB2312" w:hAnsi="仿宋_GB2312" w:eastAsia="仿宋_GB2312" w:cs="仿宋_GB2312"/>
          <w:color w:val="auto"/>
          <w:kern w:val="56"/>
          <w:sz w:val="32"/>
          <w:szCs w:val="32"/>
          <w:lang w:eastAsia="zh-CN"/>
        </w:rPr>
        <w:t>创作者向评选指定平台上传短视频，视为创作者同意将该短视频的网络传播权转让主办方，</w:t>
      </w:r>
      <w:r>
        <w:rPr>
          <w:rFonts w:hint="eastAsia" w:ascii="仿宋_GB2312" w:hAnsi="仿宋_GB2312" w:eastAsia="仿宋_GB2312" w:cs="仿宋_GB2312"/>
          <w:color w:val="auto"/>
          <w:kern w:val="56"/>
          <w:sz w:val="32"/>
          <w:szCs w:val="32"/>
        </w:rPr>
        <w:t>经评审后，部分获奖</w:t>
      </w:r>
      <w:r>
        <w:rPr>
          <w:rFonts w:hint="eastAsia" w:ascii="仿宋_GB2312" w:hAnsi="仿宋_GB2312" w:eastAsia="仿宋_GB2312" w:cs="仿宋_GB2312"/>
          <w:color w:val="auto"/>
          <w:kern w:val="56"/>
          <w:sz w:val="32"/>
          <w:szCs w:val="32"/>
          <w:lang w:eastAsia="zh-CN"/>
        </w:rPr>
        <w:t>短视频</w:t>
      </w:r>
      <w:r>
        <w:rPr>
          <w:rFonts w:hint="eastAsia" w:ascii="仿宋_GB2312" w:hAnsi="仿宋_GB2312" w:eastAsia="仿宋_GB2312" w:cs="仿宋_GB2312"/>
          <w:color w:val="auto"/>
          <w:kern w:val="56"/>
          <w:sz w:val="32"/>
          <w:szCs w:val="32"/>
        </w:rPr>
        <w:t>将在“温州学问通”平台发布。</w:t>
      </w:r>
    </w:p>
    <w:p>
      <w:pPr>
        <w:keepNext w:val="0"/>
        <w:keepLines w:val="0"/>
        <w:pageBreakBefore w:val="0"/>
        <w:widowControl/>
        <w:kinsoku/>
        <w:wordWrap/>
        <w:overflowPunct/>
        <w:topLinePunct w:val="0"/>
        <w:autoSpaceDE/>
        <w:autoSpaceDN/>
        <w:bidi w:val="0"/>
        <w:adjustRightInd w:val="0"/>
        <w:snapToGrid/>
        <w:spacing w:line="560" w:lineRule="exact"/>
        <w:ind w:firstLine="640" w:firstLineChars="200"/>
        <w:textAlignment w:val="auto"/>
        <w:rPr>
          <w:rFonts w:hint="eastAsia" w:ascii="黑体" w:hAnsi="黑体" w:eastAsia="黑体" w:cs="黑体"/>
          <w:kern w:val="56"/>
          <w:sz w:val="32"/>
          <w:szCs w:val="32"/>
        </w:rPr>
      </w:pPr>
      <w:r>
        <w:rPr>
          <w:rFonts w:hint="eastAsia" w:ascii="黑体" w:hAnsi="黑体" w:eastAsia="黑体" w:cs="黑体"/>
          <w:kern w:val="56"/>
          <w:sz w:val="32"/>
          <w:szCs w:val="32"/>
        </w:rPr>
        <w:t>三、报送要求</w:t>
      </w:r>
    </w:p>
    <w:p>
      <w:pPr>
        <w:keepNext w:val="0"/>
        <w:keepLines w:val="0"/>
        <w:pageBreakBefore w:val="0"/>
        <w:widowControl/>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color w:val="000000"/>
          <w:kern w:val="56"/>
          <w:sz w:val="32"/>
          <w:szCs w:val="32"/>
        </w:rPr>
      </w:pPr>
      <w:r>
        <w:rPr>
          <w:rFonts w:hint="eastAsia" w:ascii="仿宋_GB2312" w:hAnsi="仿宋_GB2312" w:eastAsia="仿宋_GB2312" w:cs="仿宋_GB2312"/>
          <w:kern w:val="56"/>
          <w:sz w:val="32"/>
          <w:szCs w:val="32"/>
        </w:rPr>
        <w:t>1.报送方式：</w:t>
      </w:r>
      <w:r>
        <w:rPr>
          <w:rFonts w:hint="eastAsia" w:ascii="仿宋_GB2312" w:hAnsi="仿宋_GB2312" w:eastAsia="仿宋_GB2312" w:cs="仿宋_GB2312"/>
          <w:color w:val="auto"/>
          <w:kern w:val="56"/>
          <w:sz w:val="32"/>
          <w:szCs w:val="32"/>
        </w:rPr>
        <w:t>由参评教师</w:t>
      </w:r>
      <w:r>
        <w:rPr>
          <w:rFonts w:hint="eastAsia" w:ascii="仿宋_GB2312" w:hAnsi="仿宋_GB2312" w:eastAsia="仿宋_GB2312" w:cs="仿宋_GB2312"/>
          <w:color w:val="auto"/>
          <w:kern w:val="56"/>
          <w:sz w:val="32"/>
          <w:szCs w:val="32"/>
          <w:lang w:bidi="ar"/>
        </w:rPr>
        <w:t>于202</w:t>
      </w:r>
      <w:r>
        <w:rPr>
          <w:rFonts w:hint="eastAsia" w:ascii="仿宋_GB2312" w:hAnsi="仿宋_GB2312" w:eastAsia="仿宋_GB2312" w:cs="仿宋_GB2312"/>
          <w:color w:val="auto"/>
          <w:kern w:val="56"/>
          <w:sz w:val="32"/>
          <w:szCs w:val="32"/>
          <w:lang w:val="en-US" w:eastAsia="zh-CN" w:bidi="ar"/>
        </w:rPr>
        <w:t>3</w:t>
      </w:r>
      <w:r>
        <w:rPr>
          <w:rFonts w:hint="eastAsia" w:ascii="仿宋_GB2312" w:hAnsi="仿宋_GB2312" w:eastAsia="仿宋_GB2312" w:cs="仿宋_GB2312"/>
          <w:color w:val="auto"/>
          <w:kern w:val="56"/>
          <w:sz w:val="32"/>
          <w:szCs w:val="32"/>
          <w:lang w:bidi="ar"/>
        </w:rPr>
        <w:t>年</w:t>
      </w:r>
      <w:r>
        <w:rPr>
          <w:rFonts w:hint="eastAsia" w:ascii="仿宋_GB2312" w:hAnsi="仿宋_GB2312" w:eastAsia="仿宋_GB2312" w:cs="仿宋_GB2312"/>
          <w:color w:val="auto"/>
          <w:kern w:val="56"/>
          <w:sz w:val="32"/>
          <w:szCs w:val="32"/>
          <w:lang w:val="en-US" w:eastAsia="zh-CN" w:bidi="ar"/>
        </w:rPr>
        <w:t>6</w:t>
      </w:r>
      <w:r>
        <w:rPr>
          <w:rFonts w:hint="eastAsia" w:ascii="仿宋_GB2312" w:hAnsi="仿宋_GB2312" w:eastAsia="仿宋_GB2312" w:cs="仿宋_GB2312"/>
          <w:color w:val="auto"/>
          <w:kern w:val="56"/>
          <w:sz w:val="32"/>
          <w:szCs w:val="32"/>
          <w:lang w:bidi="ar"/>
        </w:rPr>
        <w:t>月</w:t>
      </w:r>
      <w:r>
        <w:rPr>
          <w:rFonts w:hint="eastAsia" w:ascii="仿宋_GB2312" w:hAnsi="仿宋_GB2312" w:eastAsia="仿宋_GB2312" w:cs="仿宋_GB2312"/>
          <w:color w:val="auto"/>
          <w:kern w:val="56"/>
          <w:sz w:val="32"/>
          <w:szCs w:val="32"/>
          <w:lang w:val="en-US" w:eastAsia="zh-CN" w:bidi="ar"/>
        </w:rPr>
        <w:t>15</w:t>
      </w:r>
      <w:r>
        <w:rPr>
          <w:rFonts w:hint="eastAsia" w:ascii="仿宋_GB2312" w:hAnsi="仿宋_GB2312" w:eastAsia="仿宋_GB2312" w:cs="仿宋_GB2312"/>
          <w:color w:val="auto"/>
          <w:kern w:val="56"/>
          <w:sz w:val="32"/>
          <w:szCs w:val="32"/>
          <w:lang w:bidi="ar"/>
        </w:rPr>
        <w:t>日至</w:t>
      </w:r>
      <w:r>
        <w:rPr>
          <w:rFonts w:hint="eastAsia" w:ascii="仿宋_GB2312" w:hAnsi="仿宋_GB2312" w:eastAsia="仿宋_GB2312" w:cs="仿宋_GB2312"/>
          <w:color w:val="auto"/>
          <w:kern w:val="56"/>
          <w:sz w:val="32"/>
          <w:szCs w:val="32"/>
          <w:lang w:val="en-US" w:eastAsia="zh-CN" w:bidi="ar"/>
        </w:rPr>
        <w:t>6</w:t>
      </w:r>
      <w:r>
        <w:rPr>
          <w:rFonts w:hint="eastAsia" w:ascii="仿宋_GB2312" w:hAnsi="仿宋_GB2312" w:eastAsia="仿宋_GB2312" w:cs="仿宋_GB2312"/>
          <w:color w:val="auto"/>
          <w:kern w:val="56"/>
          <w:sz w:val="32"/>
          <w:szCs w:val="32"/>
          <w:lang w:bidi="ar"/>
        </w:rPr>
        <w:t>月</w:t>
      </w:r>
      <w:r>
        <w:rPr>
          <w:rFonts w:hint="eastAsia" w:ascii="仿宋_GB2312" w:hAnsi="仿宋_GB2312" w:eastAsia="仿宋_GB2312" w:cs="仿宋_GB2312"/>
          <w:color w:val="auto"/>
          <w:kern w:val="56"/>
          <w:sz w:val="32"/>
          <w:szCs w:val="32"/>
          <w:lang w:val="en-US" w:eastAsia="zh-CN" w:bidi="ar"/>
        </w:rPr>
        <w:t>25</w:t>
      </w:r>
      <w:r>
        <w:rPr>
          <w:rFonts w:hint="eastAsia" w:ascii="仿宋_GB2312" w:hAnsi="仿宋_GB2312" w:eastAsia="仿宋_GB2312" w:cs="仿宋_GB2312"/>
          <w:color w:val="auto"/>
          <w:kern w:val="56"/>
          <w:sz w:val="32"/>
          <w:szCs w:val="32"/>
          <w:lang w:bidi="ar"/>
        </w:rPr>
        <w:t>日期间</w:t>
      </w:r>
      <w:r>
        <w:rPr>
          <w:rFonts w:hint="eastAsia" w:ascii="仿宋_GB2312" w:hAnsi="仿宋_GB2312" w:eastAsia="仿宋_GB2312" w:cs="仿宋_GB2312"/>
          <w:color w:val="auto"/>
          <w:kern w:val="56"/>
          <w:sz w:val="32"/>
          <w:szCs w:val="32"/>
          <w:lang w:eastAsia="zh-CN" w:bidi="ar"/>
        </w:rPr>
        <w:t>登录</w:t>
      </w:r>
      <w:r>
        <w:rPr>
          <w:rFonts w:hint="eastAsia" w:ascii="仿宋_GB2312" w:hAnsi="仿宋_GB2312" w:eastAsia="仿宋_GB2312" w:cs="仿宋_GB2312"/>
          <w:color w:val="auto"/>
          <w:kern w:val="56"/>
          <w:sz w:val="32"/>
          <w:szCs w:val="32"/>
          <w:lang w:bidi="ar"/>
        </w:rPr>
        <w:t>温州</w:t>
      </w:r>
      <w:r>
        <w:rPr>
          <w:rFonts w:hint="eastAsia" w:ascii="仿宋_GB2312" w:hAnsi="仿宋_GB2312" w:eastAsia="仿宋_GB2312" w:cs="仿宋_GB2312"/>
          <w:color w:val="auto"/>
          <w:kern w:val="56"/>
          <w:sz w:val="32"/>
          <w:szCs w:val="32"/>
          <w:lang w:eastAsia="zh-CN" w:bidi="ar"/>
        </w:rPr>
        <w:t>学问通</w:t>
      </w:r>
      <w:r>
        <w:rPr>
          <w:rFonts w:hint="eastAsia" w:ascii="仿宋_GB2312" w:hAnsi="仿宋_GB2312" w:eastAsia="仿宋_GB2312" w:cs="仿宋_GB2312"/>
          <w:color w:val="auto"/>
          <w:kern w:val="56"/>
          <w:sz w:val="32"/>
          <w:szCs w:val="32"/>
          <w:lang w:bidi="ar"/>
        </w:rPr>
        <w:t>（www.diyidayi.cn），进入评选相关报名页面，</w:t>
      </w:r>
      <w:r>
        <w:rPr>
          <w:rFonts w:hint="eastAsia" w:ascii="仿宋_GB2312" w:hAnsi="仿宋_GB2312" w:eastAsia="仿宋_GB2312" w:cs="仿宋_GB2312"/>
          <w:color w:val="auto"/>
          <w:kern w:val="56"/>
          <w:sz w:val="32"/>
          <w:szCs w:val="32"/>
        </w:rPr>
        <w:t>填写相关信息并上传</w:t>
      </w:r>
      <w:r>
        <w:rPr>
          <w:rFonts w:hint="eastAsia" w:ascii="仿宋_GB2312" w:hAnsi="仿宋_GB2312" w:eastAsia="仿宋_GB2312" w:cs="仿宋_GB2312"/>
          <w:color w:val="auto"/>
          <w:kern w:val="56"/>
          <w:sz w:val="32"/>
          <w:szCs w:val="32"/>
          <w:lang w:eastAsia="zh-CN"/>
        </w:rPr>
        <w:t>主题班会</w:t>
      </w:r>
      <w:r>
        <w:rPr>
          <w:rFonts w:hint="eastAsia" w:ascii="仿宋_GB2312" w:hAnsi="仿宋_GB2312" w:eastAsia="仿宋_GB2312" w:cs="仿宋_GB2312"/>
          <w:color w:val="auto"/>
          <w:kern w:val="56"/>
          <w:sz w:val="32"/>
          <w:szCs w:val="32"/>
        </w:rPr>
        <w:t>微课短视频</w:t>
      </w:r>
      <w:r>
        <w:rPr>
          <w:rFonts w:hint="eastAsia" w:ascii="仿宋_GB2312" w:hAnsi="仿宋_GB2312" w:eastAsia="仿宋_GB2312" w:cs="仿宋_GB2312"/>
          <w:color w:val="auto"/>
          <w:kern w:val="56"/>
          <w:sz w:val="32"/>
          <w:szCs w:val="32"/>
          <w:lang w:eastAsia="zh-CN"/>
        </w:rPr>
        <w:t>和教学设计（word版），PPT模板可提前通过网站首页公告栏下载，上传说明提前一周发布</w:t>
      </w:r>
      <w:r>
        <w:rPr>
          <w:rFonts w:hint="eastAsia" w:ascii="仿宋_GB2312" w:hAnsi="仿宋_GB2312" w:eastAsia="仿宋_GB2312" w:cs="仿宋_GB2312"/>
          <w:color w:val="auto"/>
          <w:kern w:val="56"/>
          <w:sz w:val="32"/>
          <w:szCs w:val="32"/>
          <w:lang w:val="en-US" w:eastAsia="zh-CN"/>
        </w:rPr>
        <w:t>。</w:t>
      </w:r>
      <w:r>
        <w:rPr>
          <w:rFonts w:hint="eastAsia" w:ascii="仿宋_GB2312" w:hAnsi="仿宋_GB2312" w:eastAsia="仿宋_GB2312" w:cs="仿宋_GB2312"/>
          <w:color w:val="auto"/>
          <w:kern w:val="56"/>
          <w:sz w:val="32"/>
          <w:szCs w:val="32"/>
          <w:lang w:eastAsia="zh-CN"/>
        </w:rPr>
        <w:t>征集要求咨询</w:t>
      </w:r>
      <w:r>
        <w:rPr>
          <w:rFonts w:hint="eastAsia" w:ascii="仿宋_GB2312" w:hAnsi="仿宋_GB2312" w:eastAsia="仿宋_GB2312" w:cs="仿宋_GB2312"/>
          <w:color w:val="auto"/>
          <w:kern w:val="56"/>
          <w:sz w:val="32"/>
          <w:szCs w:val="32"/>
          <w:lang w:val="en-US" w:eastAsia="zh-CN"/>
        </w:rPr>
        <w:t>：曾老师（市教师教育院）85511582</w:t>
      </w:r>
      <w:r>
        <w:rPr>
          <w:rFonts w:hint="eastAsia" w:ascii="仿宋_GB2312" w:hAnsi="仿宋_GB2312" w:eastAsia="仿宋_GB2312" w:cs="仿宋_GB2312"/>
          <w:color w:val="auto"/>
          <w:kern w:val="56"/>
          <w:sz w:val="32"/>
          <w:szCs w:val="32"/>
          <w:lang w:eastAsia="zh-CN"/>
        </w:rPr>
        <w:t>；网上报名技术咨询：林</w:t>
      </w:r>
      <w:r>
        <w:rPr>
          <w:rFonts w:hint="eastAsia" w:ascii="仿宋_GB2312" w:hAnsi="仿宋_GB2312" w:eastAsia="仿宋_GB2312" w:cs="仿宋_GB2312"/>
          <w:color w:val="auto"/>
          <w:kern w:val="56"/>
          <w:sz w:val="32"/>
          <w:szCs w:val="32"/>
          <w:lang w:val="en-US" w:eastAsia="zh-CN"/>
        </w:rPr>
        <w:t>老师（市教育技术中心）88609881；</w:t>
      </w:r>
      <w:r>
        <w:rPr>
          <w:rFonts w:hint="eastAsia" w:ascii="仿宋_GB2312" w:hAnsi="仿宋_GB2312" w:eastAsia="仿宋_GB2312" w:cs="仿宋_GB2312"/>
          <w:color w:val="auto"/>
          <w:kern w:val="56"/>
          <w:sz w:val="32"/>
          <w:szCs w:val="32"/>
          <w:lang w:eastAsia="zh-CN"/>
        </w:rPr>
        <w:t>账号问题咨询：客服电话13957770018-1</w:t>
      </w:r>
      <w:r>
        <w:rPr>
          <w:rFonts w:hint="eastAsia" w:ascii="仿宋_GB2312" w:hAnsi="仿宋_GB2312" w:eastAsia="仿宋_GB2312" w:cs="仿宋_GB2312"/>
          <w:color w:val="000000"/>
          <w:kern w:val="56"/>
          <w:sz w:val="32"/>
          <w:szCs w:val="32"/>
        </w:rPr>
        <w:t>。</w:t>
      </w:r>
    </w:p>
    <w:p>
      <w:pPr>
        <w:keepNext w:val="0"/>
        <w:keepLines w:val="0"/>
        <w:pageBreakBefore w:val="0"/>
        <w:widowControl/>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kern w:val="56"/>
          <w:sz w:val="32"/>
          <w:szCs w:val="32"/>
          <w:lang w:val="en-US" w:eastAsia="zh-CN"/>
        </w:rPr>
      </w:pPr>
      <w:r>
        <w:rPr>
          <w:rFonts w:hint="eastAsia" w:ascii="仿宋_GB2312" w:hAnsi="仿宋_GB2312" w:eastAsia="仿宋_GB2312" w:cs="仿宋_GB2312"/>
          <w:kern w:val="56"/>
          <w:sz w:val="32"/>
          <w:szCs w:val="32"/>
          <w:lang w:val="en-US" w:eastAsia="zh-CN"/>
        </w:rPr>
        <w:t>2.下列情况的作品视为无效作品并取消参赛资格：</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color w:val="000000"/>
          <w:kern w:val="56"/>
          <w:sz w:val="32"/>
          <w:szCs w:val="32"/>
          <w:lang w:val="en-US" w:eastAsia="zh-CN"/>
        </w:rPr>
      </w:pPr>
      <w:r>
        <w:rPr>
          <w:rFonts w:hint="eastAsia" w:ascii="仿宋_GB2312" w:hAnsi="仿宋_GB2312" w:eastAsia="仿宋_GB2312" w:cs="仿宋_GB2312"/>
          <w:color w:val="000000"/>
          <w:kern w:val="56"/>
          <w:sz w:val="32"/>
          <w:szCs w:val="32"/>
          <w:lang w:val="en-US" w:eastAsia="zh-CN"/>
        </w:rPr>
        <w:t>(1)经鉴定非本人原创，抄袭他人作品、侵害他人著作权的。</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color w:val="000000"/>
          <w:kern w:val="56"/>
          <w:sz w:val="32"/>
          <w:szCs w:val="32"/>
          <w:lang w:val="en-US" w:eastAsia="zh-CN"/>
        </w:rPr>
      </w:pPr>
      <w:r>
        <w:rPr>
          <w:rFonts w:hint="eastAsia" w:ascii="仿宋_GB2312" w:hAnsi="仿宋_GB2312" w:eastAsia="仿宋_GB2312" w:cs="仿宋_GB2312"/>
          <w:color w:val="000000"/>
          <w:kern w:val="56"/>
          <w:sz w:val="32"/>
          <w:szCs w:val="32"/>
          <w:lang w:val="en-US" w:eastAsia="zh-CN"/>
        </w:rPr>
        <w:t>(2)出现政治性错误或不良信息的。</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color w:val="000000"/>
          <w:kern w:val="56"/>
          <w:sz w:val="32"/>
          <w:szCs w:val="32"/>
          <w:lang w:val="en-US" w:eastAsia="zh-CN"/>
        </w:rPr>
      </w:pPr>
      <w:r>
        <w:rPr>
          <w:rFonts w:hint="eastAsia" w:ascii="仿宋_GB2312" w:hAnsi="仿宋_GB2312" w:eastAsia="仿宋_GB2312" w:cs="仿宋_GB2312"/>
          <w:color w:val="000000"/>
          <w:kern w:val="56"/>
          <w:sz w:val="32"/>
          <w:szCs w:val="32"/>
          <w:lang w:val="en-US" w:eastAsia="zh-CN"/>
        </w:rPr>
        <w:t>(3)报送类别错误的。</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color w:val="000000"/>
          <w:kern w:val="56"/>
          <w:sz w:val="32"/>
          <w:szCs w:val="32"/>
          <w:lang w:val="en-US" w:eastAsia="zh-CN"/>
        </w:rPr>
      </w:pPr>
      <w:r>
        <w:rPr>
          <w:rFonts w:hint="eastAsia" w:ascii="黑体" w:hAnsi="黑体" w:eastAsia="黑体" w:cs="黑体"/>
          <w:color w:val="000000"/>
          <w:kern w:val="56"/>
          <w:sz w:val="32"/>
          <w:szCs w:val="32"/>
          <w:lang w:val="en-US" w:eastAsia="zh-CN"/>
        </w:rPr>
        <w:t>四、评选与推广</w:t>
      </w:r>
    </w:p>
    <w:p>
      <w:pPr>
        <w:keepNext w:val="0"/>
        <w:keepLines w:val="0"/>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color w:val="000000"/>
          <w:kern w:val="56"/>
          <w:sz w:val="32"/>
          <w:szCs w:val="32"/>
        </w:rPr>
      </w:pPr>
      <w:r>
        <w:rPr>
          <w:rFonts w:hint="eastAsia" w:ascii="仿宋_GB2312" w:hAnsi="仿宋_GB2312" w:eastAsia="仿宋_GB2312" w:cs="仿宋_GB2312"/>
          <w:color w:val="000000"/>
          <w:kern w:val="56"/>
          <w:sz w:val="32"/>
          <w:szCs w:val="32"/>
        </w:rPr>
        <w:t>1.市</w:t>
      </w:r>
      <w:r>
        <w:rPr>
          <w:rFonts w:hint="eastAsia" w:ascii="仿宋_GB2312" w:hAnsi="仿宋_GB2312" w:eastAsia="仿宋_GB2312" w:cs="仿宋_GB2312"/>
          <w:color w:val="000000"/>
          <w:kern w:val="56"/>
          <w:sz w:val="32"/>
          <w:szCs w:val="32"/>
          <w:lang w:eastAsia="zh-CN"/>
        </w:rPr>
        <w:t>教师教育院</w:t>
      </w:r>
      <w:r>
        <w:rPr>
          <w:rFonts w:hint="eastAsia" w:ascii="仿宋_GB2312" w:hAnsi="仿宋_GB2312" w:eastAsia="仿宋_GB2312" w:cs="仿宋_GB2312"/>
          <w:color w:val="000000"/>
          <w:kern w:val="56"/>
          <w:sz w:val="32"/>
          <w:szCs w:val="32"/>
        </w:rPr>
        <w:t>将成立</w:t>
      </w:r>
      <w:r>
        <w:rPr>
          <w:rFonts w:hint="eastAsia" w:ascii="仿宋_GB2312" w:hAnsi="仿宋_GB2312" w:eastAsia="仿宋_GB2312" w:cs="仿宋_GB2312"/>
          <w:color w:val="000000"/>
          <w:kern w:val="56"/>
          <w:sz w:val="32"/>
          <w:szCs w:val="32"/>
          <w:lang w:eastAsia="zh-CN"/>
        </w:rPr>
        <w:t>主题班会</w:t>
      </w:r>
      <w:r>
        <w:rPr>
          <w:rFonts w:hint="eastAsia" w:ascii="仿宋_GB2312" w:hAnsi="仿宋_GB2312" w:eastAsia="仿宋_GB2312" w:cs="仿宋_GB2312"/>
          <w:color w:val="000000"/>
          <w:kern w:val="56"/>
          <w:sz w:val="32"/>
          <w:szCs w:val="32"/>
        </w:rPr>
        <w:t>评审组，对参评</w:t>
      </w:r>
      <w:r>
        <w:rPr>
          <w:rFonts w:hint="eastAsia" w:ascii="仿宋_GB2312" w:hAnsi="仿宋_GB2312" w:eastAsia="仿宋_GB2312" w:cs="仿宋_GB2312"/>
          <w:color w:val="000000"/>
          <w:kern w:val="56"/>
          <w:sz w:val="32"/>
          <w:szCs w:val="32"/>
          <w:lang w:eastAsia="zh-CN"/>
        </w:rPr>
        <w:t>作品</w:t>
      </w:r>
      <w:r>
        <w:rPr>
          <w:rFonts w:hint="eastAsia" w:ascii="仿宋_GB2312" w:hAnsi="仿宋_GB2312" w:eastAsia="仿宋_GB2312" w:cs="仿宋_GB2312"/>
          <w:color w:val="000000"/>
          <w:kern w:val="56"/>
          <w:sz w:val="32"/>
          <w:szCs w:val="32"/>
        </w:rPr>
        <w:t>进行评审，评出优秀</w:t>
      </w:r>
      <w:r>
        <w:rPr>
          <w:rFonts w:hint="eastAsia" w:ascii="仿宋_GB2312" w:hAnsi="仿宋_GB2312" w:eastAsia="仿宋_GB2312" w:cs="仿宋_GB2312"/>
          <w:color w:val="000000"/>
          <w:kern w:val="56"/>
          <w:sz w:val="32"/>
          <w:szCs w:val="32"/>
          <w:lang w:eastAsia="zh-CN"/>
        </w:rPr>
        <w:t>作品</w:t>
      </w:r>
      <w:r>
        <w:rPr>
          <w:rFonts w:hint="eastAsia" w:ascii="仿宋_GB2312" w:hAnsi="仿宋_GB2312" w:eastAsia="仿宋_GB2312" w:cs="仿宋_GB2312"/>
          <w:color w:val="000000"/>
          <w:kern w:val="56"/>
          <w:sz w:val="32"/>
          <w:szCs w:val="32"/>
        </w:rPr>
        <w:t>一、二、三等奖各若干名，并发文公布。</w:t>
      </w:r>
    </w:p>
    <w:p>
      <w:pPr>
        <w:pStyle w:val="2"/>
        <w:keepNext w:val="0"/>
        <w:keepLines w:val="0"/>
        <w:pageBreakBefore w:val="0"/>
        <w:widowControl/>
        <w:kinsoku/>
        <w:wordWrap/>
        <w:overflowPunct/>
        <w:topLinePunct w:val="0"/>
        <w:autoSpaceDE/>
        <w:autoSpaceDN/>
        <w:bidi w:val="0"/>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000000"/>
          <w:kern w:val="56"/>
          <w:sz w:val="32"/>
          <w:szCs w:val="32"/>
        </w:rPr>
      </w:pPr>
      <w:r>
        <w:rPr>
          <w:rFonts w:hint="eastAsia" w:ascii="仿宋_GB2312" w:hAnsi="仿宋_GB2312" w:eastAsia="仿宋_GB2312" w:cs="仿宋_GB2312"/>
          <w:color w:val="000000"/>
          <w:kern w:val="56"/>
          <w:sz w:val="32"/>
          <w:szCs w:val="32"/>
        </w:rPr>
        <w:t>2.对评选出的优秀</w:t>
      </w:r>
      <w:r>
        <w:rPr>
          <w:rFonts w:hint="eastAsia" w:ascii="仿宋_GB2312" w:hAnsi="仿宋_GB2312" w:eastAsia="仿宋_GB2312" w:cs="仿宋_GB2312"/>
          <w:color w:val="000000"/>
          <w:kern w:val="56"/>
          <w:sz w:val="32"/>
          <w:szCs w:val="32"/>
          <w:lang w:eastAsia="zh-CN"/>
        </w:rPr>
        <w:t>作品</w:t>
      </w:r>
      <w:r>
        <w:rPr>
          <w:rFonts w:hint="eastAsia" w:ascii="仿宋_GB2312" w:hAnsi="仿宋_GB2312" w:eastAsia="仿宋_GB2312" w:cs="仿宋_GB2312"/>
          <w:color w:val="000000"/>
          <w:kern w:val="56"/>
          <w:sz w:val="32"/>
          <w:szCs w:val="32"/>
        </w:rPr>
        <w:t>，做进一步遴选后，在“温州学问通”平台发布</w:t>
      </w:r>
      <w:r>
        <w:rPr>
          <w:rFonts w:hint="eastAsia" w:ascii="仿宋_GB2312" w:hAnsi="仿宋_GB2312" w:eastAsia="仿宋_GB2312" w:cs="仿宋_GB2312"/>
          <w:color w:val="000000"/>
          <w:kern w:val="56"/>
          <w:sz w:val="32"/>
          <w:szCs w:val="32"/>
          <w:lang w:eastAsia="zh-CN"/>
        </w:rPr>
        <w:t>，</w:t>
      </w:r>
      <w:r>
        <w:rPr>
          <w:rFonts w:hint="eastAsia" w:ascii="仿宋_GB2312" w:hAnsi="仿宋_GB2312" w:eastAsia="仿宋_GB2312" w:cs="仿宋_GB2312"/>
          <w:color w:val="000000"/>
          <w:kern w:val="56"/>
          <w:sz w:val="32"/>
          <w:szCs w:val="32"/>
        </w:rPr>
        <w:t>供全市</w:t>
      </w:r>
      <w:r>
        <w:rPr>
          <w:rFonts w:hint="eastAsia" w:ascii="仿宋_GB2312" w:hAnsi="仿宋_GB2312" w:eastAsia="仿宋_GB2312" w:cs="仿宋_GB2312"/>
          <w:color w:val="000000"/>
          <w:kern w:val="56"/>
          <w:sz w:val="32"/>
          <w:szCs w:val="32"/>
          <w:lang w:eastAsia="zh-CN"/>
        </w:rPr>
        <w:t>师生</w:t>
      </w:r>
      <w:r>
        <w:rPr>
          <w:rFonts w:hint="eastAsia" w:ascii="仿宋_GB2312" w:hAnsi="仿宋_GB2312" w:eastAsia="仿宋_GB2312" w:cs="仿宋_GB2312"/>
          <w:color w:val="000000"/>
          <w:kern w:val="56"/>
          <w:sz w:val="32"/>
          <w:szCs w:val="32"/>
        </w:rPr>
        <w:t>日常使用。</w:t>
      </w:r>
    </w:p>
    <w:p>
      <w:pPr>
        <w:keepNext w:val="0"/>
        <w:keepLines w:val="0"/>
        <w:pageBreakBefore w:val="0"/>
        <w:kinsoku/>
        <w:wordWrap/>
        <w:overflowPunct/>
        <w:topLinePunct w:val="0"/>
        <w:autoSpaceDE/>
        <w:autoSpaceDN/>
        <w:bidi w:val="0"/>
        <w:adjustRightInd w:val="0"/>
        <w:snapToGrid/>
        <w:spacing w:line="560" w:lineRule="exact"/>
        <w:textAlignment w:val="auto"/>
        <w:rPr>
          <w:rFonts w:hint="eastAsia" w:ascii="仿宋_GB2312" w:hAnsi="仿宋_GB2312" w:eastAsia="仿宋_GB2312" w:cs="仿宋_GB2312"/>
          <w:kern w:val="56"/>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eastAsia" w:ascii="仿宋_GB2312" w:hAnsi="仿宋_GB2312" w:eastAsia="仿宋_GB2312" w:cs="仿宋_GB2312"/>
          <w:kern w:val="56"/>
          <w:sz w:val="32"/>
          <w:szCs w:val="32"/>
          <w:lang w:val="en-US" w:eastAsia="zh-CN"/>
        </w:rPr>
      </w:pPr>
      <w:r>
        <w:rPr>
          <w:rFonts w:hint="eastAsia" w:ascii="仿宋_GB2312" w:hAnsi="仿宋_GB2312" w:eastAsia="仿宋_GB2312" w:cs="仿宋_GB2312"/>
          <w:kern w:val="56"/>
          <w:sz w:val="32"/>
          <w:szCs w:val="32"/>
          <w:lang w:val="en-US" w:eastAsia="zh-CN"/>
        </w:rPr>
        <w:t>附件：主题班会微课短视频具体要求</w:t>
      </w:r>
    </w:p>
    <w:p>
      <w:pPr>
        <w:adjustRightInd w:val="0"/>
        <w:ind w:firstLine="640" w:firstLineChars="200"/>
        <w:rPr>
          <w:rFonts w:hint="eastAsia" w:eastAsia="仿宋_GB2312"/>
          <w:sz w:val="32"/>
          <w:szCs w:val="32"/>
        </w:rPr>
      </w:pPr>
    </w:p>
    <w:p>
      <w:pPr>
        <w:ind w:right="628" w:rightChars="299"/>
        <w:jc w:val="both"/>
        <w:rPr>
          <w:rFonts w:hint="eastAsia" w:eastAsia="仿宋_GB2312"/>
          <w:kern w:val="0"/>
          <w:sz w:val="32"/>
          <w:szCs w:val="32"/>
        </w:rPr>
      </w:pPr>
    </w:p>
    <w:p>
      <w:pPr>
        <w:ind w:right="628" w:rightChars="299"/>
        <w:jc w:val="both"/>
        <w:rPr>
          <w:rFonts w:hint="eastAsia" w:eastAsia="仿宋_GB2312"/>
          <w:kern w:val="0"/>
          <w:sz w:val="32"/>
          <w:szCs w:val="32"/>
        </w:rPr>
      </w:pPr>
    </w:p>
    <w:p>
      <w:pPr>
        <w:ind w:right="628" w:rightChars="299"/>
        <w:jc w:val="center"/>
        <w:rPr>
          <w:rFonts w:hint="eastAsia" w:eastAsia="仿宋_GB2312"/>
          <w:kern w:val="0"/>
          <w:sz w:val="32"/>
          <w:szCs w:val="32"/>
        </w:rPr>
      </w:pPr>
      <w:r>
        <w:rPr>
          <w:rFonts w:hint="eastAsia" w:eastAsia="仿宋_GB2312"/>
          <w:kern w:val="0"/>
          <w:sz w:val="32"/>
          <w:szCs w:val="32"/>
          <w:lang w:val="en-US" w:eastAsia="zh-CN"/>
        </w:rPr>
        <w:t xml:space="preserve">    </w:t>
      </w:r>
      <w:r>
        <w:rPr>
          <w:rFonts w:hint="eastAsia" w:eastAsia="仿宋_GB2312"/>
          <w:kern w:val="0"/>
          <w:sz w:val="32"/>
          <w:szCs w:val="32"/>
        </w:rPr>
        <w:t>温州市教师教育院</w:t>
      </w:r>
      <w:r>
        <w:rPr>
          <w:rFonts w:hint="eastAsia" w:eastAsia="仿宋_GB2312"/>
          <w:kern w:val="0"/>
          <w:sz w:val="32"/>
          <w:szCs w:val="32"/>
          <w:lang w:val="en-US" w:eastAsia="zh-CN"/>
        </w:rPr>
        <w:t xml:space="preserve">             </w:t>
      </w:r>
      <w:r>
        <w:rPr>
          <w:rFonts w:hint="eastAsia" w:eastAsia="仿宋_GB2312"/>
          <w:kern w:val="0"/>
          <w:sz w:val="32"/>
          <w:szCs w:val="32"/>
          <w:lang w:eastAsia="zh-CN"/>
        </w:rPr>
        <w:t>温州市教育技术中心</w:t>
      </w:r>
    </w:p>
    <w:p>
      <w:pPr>
        <w:ind w:right="628" w:rightChars="299"/>
        <w:jc w:val="center"/>
        <w:rPr>
          <w:rFonts w:hint="eastAsia" w:eastAsia="仿宋_GB2312"/>
          <w:kern w:val="0"/>
          <w:sz w:val="32"/>
          <w:szCs w:val="32"/>
        </w:rPr>
      </w:pPr>
      <w:r>
        <w:rPr>
          <w:rFonts w:hint="eastAsia" w:eastAsia="仿宋_GB2312"/>
          <w:kern w:val="0"/>
          <w:sz w:val="32"/>
          <w:szCs w:val="32"/>
          <w:lang w:val="en-US" w:eastAsia="zh-CN"/>
        </w:rPr>
        <w:t xml:space="preserve">                                   </w:t>
      </w:r>
      <w:r>
        <w:rPr>
          <w:rFonts w:hint="eastAsia" w:eastAsia="仿宋_GB2312"/>
          <w:kern w:val="0"/>
          <w:sz w:val="32"/>
          <w:szCs w:val="32"/>
        </w:rPr>
        <w:t>202</w:t>
      </w:r>
      <w:r>
        <w:rPr>
          <w:rFonts w:hint="eastAsia" w:eastAsia="仿宋_GB2312"/>
          <w:kern w:val="0"/>
          <w:sz w:val="32"/>
          <w:szCs w:val="32"/>
          <w:lang w:val="en-US" w:eastAsia="zh-CN"/>
        </w:rPr>
        <w:t>3</w:t>
      </w:r>
      <w:r>
        <w:rPr>
          <w:rFonts w:hint="eastAsia" w:eastAsia="仿宋_GB2312"/>
          <w:kern w:val="0"/>
          <w:sz w:val="32"/>
          <w:szCs w:val="32"/>
        </w:rPr>
        <w:t>年</w:t>
      </w:r>
      <w:r>
        <w:rPr>
          <w:rFonts w:hint="eastAsia" w:eastAsia="仿宋_GB2312"/>
          <w:kern w:val="0"/>
          <w:sz w:val="32"/>
          <w:szCs w:val="32"/>
          <w:lang w:val="en-US" w:eastAsia="zh-CN"/>
        </w:rPr>
        <w:t>5</w:t>
      </w:r>
      <w:r>
        <w:rPr>
          <w:rFonts w:hint="eastAsia" w:eastAsia="仿宋_GB2312"/>
          <w:kern w:val="0"/>
          <w:sz w:val="32"/>
          <w:szCs w:val="32"/>
        </w:rPr>
        <w:t>月</w:t>
      </w:r>
      <w:r>
        <w:rPr>
          <w:rFonts w:hint="eastAsia" w:eastAsia="仿宋_GB2312"/>
          <w:kern w:val="0"/>
          <w:sz w:val="32"/>
          <w:szCs w:val="32"/>
          <w:lang w:val="en-US" w:eastAsia="zh-CN"/>
        </w:rPr>
        <w:t>4</w:t>
      </w:r>
      <w:r>
        <w:rPr>
          <w:rFonts w:hint="eastAsia" w:eastAsia="仿宋_GB2312"/>
          <w:kern w:val="0"/>
          <w:sz w:val="32"/>
          <w:szCs w:val="32"/>
        </w:rPr>
        <w:t>日</w:t>
      </w:r>
    </w:p>
    <w:p>
      <w:pPr>
        <w:spacing w:line="560" w:lineRule="exact"/>
        <w:rPr>
          <w:rFonts w:hint="eastAsia" w:ascii="仿宋_GB2312" w:eastAsia="仿宋_GB2312"/>
          <w:kern w:val="0"/>
          <w:sz w:val="28"/>
          <w:szCs w:val="28"/>
        </w:rPr>
      </w:pPr>
    </w:p>
    <w:p>
      <w:pPr>
        <w:spacing w:line="560" w:lineRule="exact"/>
        <w:rPr>
          <w:rFonts w:hint="eastAsia" w:ascii="仿宋_GB2312" w:eastAsia="仿宋_GB2312"/>
          <w:kern w:val="0"/>
          <w:sz w:val="28"/>
          <w:szCs w:val="28"/>
        </w:rPr>
      </w:pPr>
    </w:p>
    <w:p>
      <w:pPr>
        <w:rPr>
          <w:rFonts w:ascii="仿宋_GB2312" w:eastAsia="仿宋_GB2312"/>
          <w:sz w:val="32"/>
          <w:szCs w:val="32"/>
        </w:rPr>
      </w:pPr>
      <w:r>
        <w:rPr>
          <w:rFonts w:hint="eastAsia" w:ascii="仿宋_GB2312" w:eastAsia="仿宋_GB2312"/>
          <w:sz w:val="32"/>
          <w:szCs w:val="32"/>
        </w:rPr>
        <w:br w:type="page"/>
      </w:r>
      <w:r>
        <w:rPr>
          <w:rFonts w:hint="eastAsia" w:ascii="仿宋_GB2312" w:eastAsia="仿宋_GB2312"/>
          <w:sz w:val="32"/>
          <w:szCs w:val="32"/>
        </w:rPr>
        <w:t>附件</w:t>
      </w:r>
    </w:p>
    <w:p>
      <w:pPr>
        <w:adjustRightInd w:val="0"/>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lang w:eastAsia="zh-CN"/>
        </w:rPr>
        <w:t>主题班会</w:t>
      </w:r>
      <w:r>
        <w:rPr>
          <w:rFonts w:hint="eastAsia" w:ascii="方正小标宋简体" w:hAnsi="方正小标宋简体" w:eastAsia="方正小标宋简体" w:cs="方正小标宋简体"/>
          <w:sz w:val="36"/>
          <w:szCs w:val="36"/>
        </w:rPr>
        <w:t>微课短视频具体要求</w:t>
      </w:r>
    </w:p>
    <w:p>
      <w:pPr>
        <w:keepNext w:val="0"/>
        <w:keepLines w:val="0"/>
        <w:pageBreakBefore w:val="0"/>
        <w:widowControl w:val="0"/>
        <w:kinsoku/>
        <w:wordWrap/>
        <w:overflowPunct/>
        <w:topLinePunct w:val="0"/>
        <w:autoSpaceDE/>
        <w:autoSpaceDN/>
        <w:bidi w:val="0"/>
        <w:adjustRightInd w:val="0"/>
        <w:snapToGrid/>
        <w:spacing w:line="100" w:lineRule="exact"/>
        <w:jc w:val="center"/>
        <w:textAlignment w:val="auto"/>
        <w:rPr>
          <w:rFonts w:hint="eastAsia" w:ascii="方正小标宋简体" w:hAnsi="方正小标宋简体" w:eastAsia="方正小标宋简体" w:cs="方正小标宋简体"/>
          <w:sz w:val="36"/>
          <w:szCs w:val="36"/>
        </w:rPr>
      </w:pPr>
    </w:p>
    <w:tbl>
      <w:tblPr>
        <w:tblStyle w:val="3"/>
        <w:tblW w:w="101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0"/>
        <w:gridCol w:w="555"/>
        <w:gridCol w:w="1110"/>
        <w:gridCol w:w="705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510" w:type="dxa"/>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jc w:val="center"/>
              <w:textAlignment w:val="auto"/>
              <w:rPr>
                <w:rFonts w:hint="eastAsia" w:ascii="仿宋_GB2312" w:eastAsia="仿宋_GB2312"/>
                <w:sz w:val="24"/>
              </w:rPr>
            </w:pPr>
            <w:r>
              <w:rPr>
                <w:rFonts w:hint="eastAsia" w:ascii="仿宋_GB2312" w:eastAsia="仿宋_GB2312"/>
                <w:sz w:val="24"/>
              </w:rPr>
              <w:t>学科</w:t>
            </w:r>
          </w:p>
        </w:tc>
        <w:tc>
          <w:tcPr>
            <w:tcW w:w="555" w:type="dxa"/>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jc w:val="center"/>
              <w:textAlignment w:val="auto"/>
              <w:rPr>
                <w:rFonts w:hint="eastAsia" w:ascii="仿宋_GB2312" w:eastAsia="仿宋_GB2312"/>
                <w:sz w:val="24"/>
                <w:lang w:eastAsia="zh-CN"/>
              </w:rPr>
            </w:pPr>
            <w:r>
              <w:rPr>
                <w:rFonts w:hint="eastAsia" w:ascii="仿宋_GB2312" w:eastAsia="仿宋_GB2312"/>
                <w:sz w:val="24"/>
                <w:lang w:eastAsia="zh-CN"/>
              </w:rPr>
              <w:t>类别</w:t>
            </w:r>
          </w:p>
        </w:tc>
        <w:tc>
          <w:tcPr>
            <w:tcW w:w="1110" w:type="dxa"/>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jc w:val="center"/>
              <w:textAlignment w:val="auto"/>
              <w:rPr>
                <w:rFonts w:hint="eastAsia" w:ascii="仿宋_GB2312" w:eastAsia="仿宋_GB2312"/>
                <w:sz w:val="24"/>
              </w:rPr>
            </w:pPr>
            <w:r>
              <w:rPr>
                <w:rFonts w:hint="eastAsia" w:ascii="仿宋_GB2312" w:eastAsia="仿宋_GB2312"/>
                <w:sz w:val="24"/>
              </w:rPr>
              <w:t>范围</w:t>
            </w:r>
          </w:p>
        </w:tc>
        <w:tc>
          <w:tcPr>
            <w:tcW w:w="7050" w:type="dxa"/>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jc w:val="center"/>
              <w:textAlignment w:val="auto"/>
              <w:rPr>
                <w:rFonts w:hint="eastAsia" w:ascii="仿宋_GB2312" w:eastAsia="仿宋_GB2312"/>
                <w:sz w:val="24"/>
              </w:rPr>
            </w:pPr>
            <w:r>
              <w:rPr>
                <w:rFonts w:hint="eastAsia" w:ascii="仿宋_GB2312" w:eastAsia="仿宋_GB2312"/>
                <w:sz w:val="24"/>
              </w:rPr>
              <w:t>内容</w:t>
            </w:r>
          </w:p>
        </w:tc>
        <w:tc>
          <w:tcPr>
            <w:tcW w:w="900" w:type="dxa"/>
            <w:noWrap w:val="0"/>
            <w:vAlign w:val="center"/>
          </w:tcPr>
          <w:p>
            <w:pPr>
              <w:keepNext w:val="0"/>
              <w:keepLines w:val="0"/>
              <w:pageBreakBefore w:val="0"/>
              <w:widowControl w:val="0"/>
              <w:kinsoku/>
              <w:wordWrap/>
              <w:overflowPunct/>
              <w:topLinePunct w:val="0"/>
              <w:autoSpaceDE/>
              <w:autoSpaceDN/>
              <w:bidi w:val="0"/>
              <w:adjustRightInd w:val="0"/>
              <w:snapToGrid/>
              <w:spacing w:line="300" w:lineRule="exact"/>
              <w:jc w:val="center"/>
              <w:textAlignment w:val="auto"/>
              <w:rPr>
                <w:rFonts w:hint="eastAsia" w:ascii="仿宋_GB2312" w:eastAsia="仿宋_GB2312"/>
                <w:sz w:val="24"/>
              </w:rPr>
            </w:pPr>
            <w:r>
              <w:rPr>
                <w:rFonts w:hint="eastAsia" w:ascii="仿宋_GB2312" w:eastAsia="仿宋_GB2312"/>
                <w:sz w:val="24"/>
              </w:rPr>
              <w:t>区域模块限定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r>
              <w:rPr>
                <w:rFonts w:hint="eastAsia" w:ascii="仿宋_GB2312" w:eastAsia="仿宋_GB2312"/>
                <w:sz w:val="24"/>
                <w:lang w:eastAsia="zh-CN"/>
              </w:rPr>
              <w:t>德育</w:t>
            </w:r>
          </w:p>
        </w:tc>
        <w:tc>
          <w:tcPr>
            <w:tcW w:w="555"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r>
              <w:rPr>
                <w:rFonts w:hint="eastAsia" w:ascii="仿宋_GB2312" w:eastAsia="仿宋_GB2312"/>
                <w:sz w:val="24"/>
                <w:lang w:eastAsia="zh-CN"/>
              </w:rPr>
              <w:t>微课</w:t>
            </w:r>
          </w:p>
        </w:tc>
        <w:tc>
          <w:tcPr>
            <w:tcW w:w="111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r>
              <w:rPr>
                <w:rFonts w:hint="eastAsia" w:ascii="仿宋_GB2312" w:eastAsia="仿宋_GB2312"/>
                <w:sz w:val="24"/>
                <w:lang w:eastAsia="zh-CN"/>
              </w:rPr>
              <w:t>公民道德教育</w:t>
            </w:r>
          </w:p>
        </w:tc>
        <w:tc>
          <w:tcPr>
            <w:tcW w:w="705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left"/>
              <w:textAlignment w:val="auto"/>
              <w:rPr>
                <w:rFonts w:hint="eastAsia" w:ascii="仿宋_GB2312" w:eastAsia="仿宋_GB2312"/>
                <w:sz w:val="24"/>
                <w:lang w:eastAsia="zh-CN"/>
              </w:rPr>
            </w:pPr>
            <w:r>
              <w:rPr>
                <w:rFonts w:hint="eastAsia" w:ascii="仿宋_GB2312" w:hAnsi="Times New Roman" w:eastAsia="仿宋_GB2312" w:cs="Times New Roman"/>
                <w:sz w:val="24"/>
                <w:lang w:val="en-US" w:eastAsia="zh-CN"/>
              </w:rPr>
              <w:t>全面推进社会公德、职业道德、家庭美德、个人品德建设，持续强化教育引导、实践养成、制度保障，不断提升公民道德素质，促进人的全面发展，培养和造就担当民族复兴大任的时代新人。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r>
              <w:rPr>
                <w:rFonts w:hint="eastAsia" w:ascii="仿宋_GB2312" w:eastAsia="仿宋_GB2312"/>
                <w:sz w:val="24"/>
                <w:lang w:eastAsia="zh-CN"/>
              </w:rPr>
              <w:t>全市</w:t>
            </w:r>
          </w:p>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r>
              <w:rPr>
                <w:rFonts w:hint="eastAsia" w:ascii="仿宋_GB2312" w:eastAsia="仿宋_GB2312"/>
                <w:sz w:val="24"/>
                <w:lang w:eastAsia="zh-CN"/>
              </w:rPr>
              <w:t>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555"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111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r>
              <w:rPr>
                <w:rFonts w:hint="eastAsia" w:ascii="仿宋_GB2312" w:eastAsia="仿宋_GB2312"/>
                <w:sz w:val="24"/>
                <w:lang w:eastAsia="zh-CN"/>
              </w:rPr>
              <w:t>爱国主义教育</w:t>
            </w:r>
          </w:p>
        </w:tc>
        <w:tc>
          <w:tcPr>
            <w:tcW w:w="705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left"/>
              <w:textAlignment w:val="auto"/>
              <w:rPr>
                <w:rFonts w:hint="eastAsia" w:ascii="仿宋_GB2312" w:eastAsia="仿宋_GB2312"/>
                <w:sz w:val="24"/>
                <w:lang w:eastAsia="zh-CN"/>
              </w:rPr>
            </w:pPr>
            <w:r>
              <w:rPr>
                <w:rFonts w:hint="eastAsia" w:ascii="仿宋_GB2312" w:eastAsia="仿宋_GB2312"/>
                <w:sz w:val="24"/>
                <w:lang w:eastAsia="zh-CN"/>
              </w:rPr>
              <w:t>体现热爱祖国和人民，为国家富强、民族振兴的社会责任意识，培育学生自强不息与厚德载物的家国情怀。</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555"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111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r>
              <w:rPr>
                <w:rFonts w:hint="eastAsia" w:ascii="仿宋_GB2312" w:hAnsi="Times New Roman" w:eastAsia="仿宋_GB2312" w:cs="Times New Roman"/>
                <w:sz w:val="24"/>
                <w:lang w:val="en-US" w:eastAsia="zh-CN"/>
              </w:rPr>
              <w:t>优秀传统文化教育</w:t>
            </w:r>
          </w:p>
        </w:tc>
        <w:tc>
          <w:tcPr>
            <w:tcW w:w="705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left"/>
              <w:textAlignment w:val="auto"/>
              <w:rPr>
                <w:rFonts w:hint="eastAsia" w:ascii="仿宋_GB2312" w:eastAsia="仿宋_GB2312"/>
                <w:sz w:val="24"/>
                <w:lang w:eastAsia="zh-CN"/>
              </w:rPr>
            </w:pPr>
            <w:r>
              <w:rPr>
                <w:rFonts w:hint="eastAsia" w:ascii="仿宋_GB2312" w:hAnsi="Times New Roman" w:eastAsia="仿宋_GB2312" w:cs="Times New Roman"/>
                <w:sz w:val="24"/>
                <w:lang w:val="en-US" w:eastAsia="zh-CN"/>
              </w:rPr>
              <w:t>加强中华优秀传统文化教育，要加强对中华优秀传统思维方式、价值取向、伦理观念与理想人格的传播与教育，而这些内容则大概可归纳为自强不息的民族精神、修齐治平的家国情怀、崇德向善的道德追求和“内圣外王”的人格修养。</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555"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111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r>
              <w:rPr>
                <w:rFonts w:hint="eastAsia" w:ascii="仿宋_GB2312" w:eastAsia="仿宋_GB2312"/>
                <w:sz w:val="24"/>
                <w:lang w:eastAsia="zh-CN"/>
              </w:rPr>
              <w:t>文明礼仪教育</w:t>
            </w:r>
          </w:p>
        </w:tc>
        <w:tc>
          <w:tcPr>
            <w:tcW w:w="705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left"/>
              <w:textAlignment w:val="auto"/>
              <w:rPr>
                <w:rFonts w:hint="eastAsia" w:ascii="仿宋_GB2312" w:eastAsia="仿宋_GB2312"/>
                <w:sz w:val="24"/>
                <w:lang w:eastAsia="zh-CN"/>
              </w:rPr>
            </w:pPr>
            <w:r>
              <w:rPr>
                <w:rFonts w:hint="eastAsia" w:ascii="仿宋_GB2312" w:eastAsia="仿宋_GB2312"/>
                <w:sz w:val="24"/>
                <w:lang w:eastAsia="zh-CN"/>
              </w:rPr>
              <w:t>依据教育部印发的《中小学文明礼仪教育指导纲要》中文明礼仪教育的主要内容，引导学生掌握基本的个人礼仪和交往礼仪，养成良好的行为习惯，做合格守法公民。</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555"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111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r>
              <w:rPr>
                <w:rFonts w:hint="eastAsia" w:ascii="仿宋_GB2312" w:eastAsia="仿宋_GB2312"/>
                <w:sz w:val="24"/>
                <w:lang w:eastAsia="zh-CN"/>
              </w:rPr>
              <w:t>中华传统美德教育</w:t>
            </w:r>
          </w:p>
        </w:tc>
        <w:tc>
          <w:tcPr>
            <w:tcW w:w="705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left"/>
              <w:textAlignment w:val="auto"/>
              <w:rPr>
                <w:rFonts w:hint="eastAsia" w:ascii="仿宋_GB2312" w:eastAsia="仿宋_GB2312"/>
                <w:sz w:val="24"/>
                <w:lang w:eastAsia="zh-CN"/>
              </w:rPr>
            </w:pPr>
            <w:r>
              <w:rPr>
                <w:rFonts w:hint="eastAsia" w:ascii="仿宋_GB2312" w:eastAsia="仿宋_GB2312"/>
                <w:sz w:val="24"/>
                <w:lang w:eastAsia="zh-CN"/>
              </w:rPr>
              <w:t>围绕中华传统美德，积极开展孝亲尊师、团结友善、诚实守信、敢于担当等美德教育，体现感恩、孝悌、爱心、合作、坚毅、友善等。</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555"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111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r>
              <w:rPr>
                <w:rFonts w:hint="eastAsia" w:ascii="仿宋_GB2312" w:hAnsi="Times New Roman" w:eastAsia="仿宋_GB2312" w:cs="Times New Roman"/>
                <w:sz w:val="24"/>
                <w:lang w:val="en-US" w:eastAsia="zh-CN"/>
              </w:rPr>
              <w:t>网络素养教育</w:t>
            </w:r>
          </w:p>
        </w:tc>
        <w:tc>
          <w:tcPr>
            <w:tcW w:w="705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left"/>
              <w:textAlignment w:val="auto"/>
              <w:rPr>
                <w:rFonts w:hint="eastAsia" w:ascii="仿宋_GB2312" w:eastAsia="仿宋_GB2312"/>
                <w:sz w:val="24"/>
                <w:lang w:eastAsia="zh-CN"/>
              </w:rPr>
            </w:pPr>
            <w:r>
              <w:rPr>
                <w:rFonts w:hint="eastAsia" w:ascii="仿宋_GB2312" w:hAnsi="Times New Roman" w:eastAsia="仿宋_GB2312" w:cs="Times New Roman"/>
                <w:sz w:val="24"/>
                <w:lang w:val="en-US" w:eastAsia="zh-CN"/>
              </w:rPr>
              <w:t>网络使用者应具备网络素质及道德规范，未成年人应具备的网络信息辨别能力，网络规范、道德修养、网络素养教育的整体规划和知识，理性地运用网络信息为自身和社会的发展服务。</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555"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111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ascii="仿宋_GB2312" w:eastAsia="仿宋_GB2312"/>
                <w:sz w:val="24"/>
              </w:rPr>
            </w:pPr>
            <w:r>
              <w:rPr>
                <w:rFonts w:hint="eastAsia" w:ascii="仿宋_GB2312" w:eastAsia="仿宋_GB2312"/>
                <w:sz w:val="24"/>
                <w:lang w:eastAsia="zh-CN"/>
              </w:rPr>
              <w:t>生命安全与健康教育</w:t>
            </w:r>
          </w:p>
        </w:tc>
        <w:tc>
          <w:tcPr>
            <w:tcW w:w="7050" w:type="dxa"/>
            <w:noWrap w:val="0"/>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napToGrid/>
              <w:spacing w:before="0" w:beforeAutospacing="0" w:after="0" w:afterAutospacing="0" w:line="350" w:lineRule="exact"/>
              <w:ind w:right="0"/>
              <w:jc w:val="left"/>
              <w:textAlignment w:val="auto"/>
              <w:rPr>
                <w:rFonts w:hint="eastAsia" w:ascii="仿宋_GB2312" w:eastAsia="仿宋_GB2312"/>
                <w:sz w:val="24"/>
                <w:lang w:eastAsia="zh-CN"/>
              </w:rPr>
            </w:pPr>
            <w:r>
              <w:rPr>
                <w:rFonts w:hint="eastAsia" w:ascii="仿宋_GB2312" w:hAnsi="Times New Roman" w:eastAsia="仿宋_GB2312" w:cs="Times New Roman"/>
                <w:kern w:val="2"/>
                <w:sz w:val="24"/>
                <w:szCs w:val="24"/>
                <w:lang w:val="en-US" w:eastAsia="zh-CN" w:bidi="ar-SA"/>
              </w:rPr>
              <w:t>生命安全与健康是人类生存、发展的基本需求和永恒追求。生命权、身体权和健康权是每一位公民的权利。良好的学校生命安全与健康教育有助于学生树立正确生命观、健康观、安全观，养成健康文明行为习惯和生活方式，自觉采纳和保持健康行为，为终身健康奠定坚实基础。</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555"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c>
          <w:tcPr>
            <w:tcW w:w="1110" w:type="dxa"/>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r>
              <w:rPr>
                <w:rFonts w:hint="eastAsia" w:ascii="仿宋_GB2312" w:eastAsia="仿宋_GB2312"/>
                <w:sz w:val="24"/>
                <w:lang w:eastAsia="zh-CN"/>
              </w:rPr>
              <w:t>生态文明教育</w:t>
            </w:r>
          </w:p>
        </w:tc>
        <w:tc>
          <w:tcPr>
            <w:tcW w:w="7050" w:type="dxa"/>
            <w:noWrap w:val="0"/>
            <w:vAlign w:val="center"/>
          </w:tcPr>
          <w:p>
            <w:pPr>
              <w:keepNext w:val="0"/>
              <w:keepLines w:val="0"/>
              <w:pageBreakBefore w:val="0"/>
              <w:widowControl/>
              <w:suppressLineNumbers w:val="0"/>
              <w:kinsoku/>
              <w:wordWrap/>
              <w:overflowPunct/>
              <w:topLinePunct w:val="0"/>
              <w:autoSpaceDE/>
              <w:autoSpaceDN/>
              <w:bidi w:val="0"/>
              <w:snapToGrid/>
              <w:spacing w:line="350" w:lineRule="exact"/>
              <w:jc w:val="left"/>
              <w:textAlignment w:val="auto"/>
              <w:rPr>
                <w:rFonts w:hint="eastAsia" w:ascii="仿宋_GB2312" w:hAnsi="Times New Roman" w:eastAsia="仿宋_GB2312" w:cs="Times New Roman"/>
                <w:kern w:val="2"/>
                <w:sz w:val="24"/>
                <w:szCs w:val="24"/>
                <w:lang w:val="en-US" w:eastAsia="zh-CN" w:bidi="ar-SA"/>
              </w:rPr>
            </w:pPr>
            <w:r>
              <w:rPr>
                <w:rFonts w:hint="eastAsia" w:ascii="仿宋_GB2312" w:hAnsi="Times New Roman" w:eastAsia="仿宋_GB2312" w:cs="Times New Roman"/>
                <w:kern w:val="2"/>
                <w:sz w:val="24"/>
                <w:szCs w:val="24"/>
                <w:lang w:val="en-US" w:eastAsia="zh-CN" w:bidi="ar-SA"/>
              </w:rPr>
              <w:t>生态文明教育担负着培养具备生态文明理念和素养的中国特色社会主义事业接班人的历史重任，必须充分发挥教育的基础性、先导性、全局性作用，深入宣传习近平生态文明思想，落实立德树人根本任务，构建以学校教育为基础、覆盖全社会的生态文明教育体系，以全面提升民众的生态文明素养。</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350" w:lineRule="exact"/>
              <w:jc w:val="center"/>
              <w:textAlignment w:val="auto"/>
              <w:rPr>
                <w:rFonts w:hint="eastAsia" w:ascii="仿宋_GB2312" w:eastAsia="仿宋_GB2312"/>
                <w:sz w:val="24"/>
                <w:lang w:eastAsia="zh-CN"/>
              </w:rPr>
            </w:pPr>
          </w:p>
        </w:tc>
      </w:tr>
    </w:tbl>
    <w:p>
      <w:pPr>
        <w:spacing w:line="560" w:lineRule="exact"/>
        <w:jc w:val="left"/>
        <w:rPr>
          <w:rFonts w:hint="eastAsia" w:ascii="仿宋_GB2312" w:hAnsi="仿宋_GB2312" w:eastAsia="仿宋_GB2312" w:cs="仿宋_GB2312"/>
          <w:spacing w:val="0"/>
          <w:sz w:val="24"/>
          <w:szCs w:val="24"/>
          <w:lang w:val="en-US" w:eastAsia="zh-CN"/>
        </w:rPr>
      </w:pPr>
    </w:p>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00000000000000000"/>
    <w:charset w:val="86"/>
    <w:family w:val="auto"/>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Q4MjljZjZlOTA3NGVjMDhiOGY3Y2M3MDAwZDc0YTYifQ=="/>
  </w:docVars>
  <w:rsids>
    <w:rsidRoot w:val="36DF3735"/>
    <w:rsid w:val="36DF37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100" w:beforeAutospacing="1" w:after="100" w:afterAutospacing="1"/>
      <w:jc w:val="left"/>
    </w:pPr>
    <w:rPr>
      <w:rFonts w:ascii="Calibri" w:hAnsi="Calibri"/>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2023-05-06T07:23:00Z</dcterms:created>
  <dc:creator>方明</dc:creator>
  <cp:lastModifiedBy>方明</cp:lastModifiedBy>
  <dcterms:modified xsi:type="dcterms:W3CDTF">2023-05-06T07:24:18Z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2CF0A7EA12A649CB961F15019EED6FE4_11</vt:lpwstr>
  </property>
</Properties>
</file>