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EB522B">
      <w:pPr>
        <w:widowControl w:val="0"/>
        <w:spacing w:line="560" w:lineRule="exact"/>
        <w:jc w:val="both"/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 w:bidi="ar-SA"/>
        </w:rPr>
        <w:t>附件</w:t>
      </w:r>
    </w:p>
    <w:p w14:paraId="5CA41D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宋体" w:cs="Times New Roman"/>
          <w:b/>
          <w:bCs/>
          <w:sz w:val="36"/>
          <w:szCs w:val="36"/>
          <w:lang w:val="en-US" w:eastAsia="zh-CN" w:bidi="ar-SA"/>
        </w:rPr>
        <w:t>2025</w:t>
      </w:r>
      <w:r>
        <w:rPr>
          <w:rFonts w:hint="eastAsia" w:ascii="Times New Roman" w:hAnsi="Times New Roman" w:eastAsia="宋体" w:cs="Times New Roman"/>
          <w:b/>
          <w:bCs/>
          <w:sz w:val="36"/>
          <w:szCs w:val="36"/>
          <w:lang w:val="en-US" w:eastAsia="zh-CN" w:bidi="ar-SA"/>
        </w:rPr>
        <w:t>年度瓯越少年科学院组织架构</w:t>
      </w:r>
    </w:p>
    <w:bookmarkEnd w:id="0"/>
    <w:p w14:paraId="4242B9AC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一、主办部门：</w:t>
      </w:r>
    </w:p>
    <w:p w14:paraId="5665BEF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atLeast"/>
        <w:ind w:right="0" w:firstLine="640" w:firstLineChars="200"/>
        <w:jc w:val="left"/>
        <w:textAlignment w:val="auto"/>
        <w:rPr>
          <w:rFonts w:hint="default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瓯海区教育局、瓯海区妇联、瓯海区科协</w:t>
      </w:r>
    </w:p>
    <w:p w14:paraId="075DC914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等线" w:hAnsi="等线" w:eastAsia="等线" w:cs="等线"/>
          <w:i w:val="0"/>
          <w:iCs w:val="0"/>
          <w:caps w:val="0"/>
          <w:color w:val="000000"/>
          <w:spacing w:val="0"/>
          <w:sz w:val="24"/>
          <w:szCs w:val="24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二、日常管理机构</w:t>
      </w:r>
      <w:r>
        <w:rPr>
          <w:rFonts w:hint="default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：</w:t>
      </w:r>
    </w:p>
    <w:p w14:paraId="349F23CB">
      <w:pPr>
        <w:keepNext w:val="0"/>
        <w:keepLines w:val="0"/>
        <w:widowControl/>
        <w:suppressLineNumbers w:val="0"/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瓯海区科学教育指导中心</w:t>
      </w:r>
    </w:p>
    <w:p w14:paraId="240320E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三、科研监督组织：</w:t>
      </w:r>
    </w:p>
    <w:p w14:paraId="05185F19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瓯越少年科学院专家委员会</w:t>
      </w:r>
    </w:p>
    <w:p w14:paraId="015D516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default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四、科研指导组织：</w:t>
      </w:r>
    </w:p>
    <w:p w14:paraId="1AE17750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/>
        <w:jc w:val="left"/>
        <w:rPr>
          <w:rFonts w:hint="default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 xml:space="preserve">    瓯越少年科学院首席导师团、导师团</w:t>
      </w:r>
    </w:p>
    <w:p w14:paraId="7EFEAA3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五、区级学生科研组织</w:t>
      </w:r>
    </w:p>
    <w:p w14:paraId="0A297B1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瓯越少年科学院学生学术委员会、会员大会</w:t>
      </w:r>
    </w:p>
    <w:p w14:paraId="15A7A00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left="0" w:right="0" w:firstLine="0"/>
        <w:jc w:val="left"/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六、常设科研组织</w:t>
      </w:r>
    </w:p>
    <w:p w14:paraId="5AC5763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瓯越少年科学院办公室，设在瓯海区教育研究院；</w:t>
      </w:r>
    </w:p>
    <w:p w14:paraId="349C653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瓯越少年科学院科研总部，设在潮学园科学中心；</w:t>
      </w:r>
    </w:p>
    <w:p w14:paraId="0640972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瓯越少年科学院新桥分院，设在新桥街道办事处；</w:t>
      </w:r>
    </w:p>
    <w:p w14:paraId="7F32FA01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560" w:lineRule="atLeast"/>
        <w:ind w:right="0" w:firstLine="640"/>
        <w:jc w:val="left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瓯越少年科学院联盟校，设在各中小学、幼儿园；</w:t>
      </w:r>
    </w:p>
    <w:p w14:paraId="13397F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lang w:val="en-US" w:eastAsia="zh-CN" w:bidi="ar"/>
        </w:rPr>
        <w:t>瓯越少年科学院田野科研基地，设在潮学园农业基地、相关认定基地。</w:t>
      </w:r>
    </w:p>
    <w:p w14:paraId="3DBF1B0E"/>
    <w:sectPr>
      <w:pgSz w:w="11906" w:h="16838"/>
      <w:pgMar w:top="2098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9C4C33"/>
    <w:rsid w:val="007471EC"/>
    <w:rsid w:val="02FF4021"/>
    <w:rsid w:val="03B20E6B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632DEB"/>
    <w:rsid w:val="429B6988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39C4C33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22663E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2025-11-05T07:44:00Z</dcterms:created>
  <dc:creator>丹</dc:creator>
  <cp:lastModifiedBy>丹</cp:lastModifiedBy>
  <dcterms:modified xsi:type="dcterms:W3CDTF">2025-11-05T07:44:25Z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5E2C2B34790A4F819EC8340860C3BF3F_11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