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5124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562" w:firstLineChars="200"/>
        <w:jc w:val="center"/>
        <w:textAlignment w:val="auto"/>
        <w:rPr>
          <w:rFonts w:hint="eastAsia" w:asciiTheme="majorEastAsia" w:hAnsiTheme="majorEastAsia" w:eastAsiaTheme="majorEastAsia" w:cstheme="majorEastAsia"/>
          <w:sz w:val="28"/>
          <w:szCs w:val="28"/>
        </w:rPr>
      </w:pPr>
      <w:r>
        <w:rPr>
          <w:rFonts w:hint="eastAsia" w:asciiTheme="majorEastAsia" w:hAnsiTheme="majorEastAsia" w:eastAsiaTheme="majorEastAsia" w:cstheme="majorEastAsia"/>
          <w:b/>
          <w:sz w:val="28"/>
          <w:szCs w:val="28"/>
          <w:lang w:val="en-US" w:eastAsia="zh-CN"/>
        </w:rPr>
        <w:t>林晓茜</w:t>
      </w:r>
      <w:r>
        <w:rPr>
          <w:rFonts w:hint="eastAsia" w:asciiTheme="majorEastAsia" w:hAnsiTheme="majorEastAsia" w:eastAsiaTheme="majorEastAsia" w:cstheme="majorEastAsia"/>
          <w:b/>
          <w:sz w:val="28"/>
          <w:szCs w:val="28"/>
        </w:rPr>
        <w:t>工作室成员</w:t>
      </w:r>
      <w:r>
        <w:rPr>
          <w:rFonts w:hint="eastAsia" w:asciiTheme="majorEastAsia" w:hAnsiTheme="majorEastAsia" w:eastAsiaTheme="majorEastAsia" w:cstheme="majorEastAsia"/>
          <w:b/>
          <w:sz w:val="28"/>
          <w:szCs w:val="28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b/>
          <w:sz w:val="28"/>
          <w:szCs w:val="28"/>
          <w:lang w:val="en-US" w:eastAsia="zh-CN"/>
        </w:rPr>
        <w:t>庄蓓蓓</w:t>
      </w:r>
      <w:r>
        <w:rPr>
          <w:rFonts w:hint="eastAsia" w:asciiTheme="majorEastAsia" w:hAnsiTheme="majorEastAsia" w:eastAsiaTheme="majorEastAsia" w:cstheme="majorEastAsia"/>
          <w:b/>
          <w:sz w:val="28"/>
          <w:szCs w:val="28"/>
          <w:lang w:eastAsia="zh-CN"/>
        </w:rPr>
        <w:t>）</w:t>
      </w:r>
      <w:r>
        <w:rPr>
          <w:rFonts w:hint="eastAsia" w:asciiTheme="majorEastAsia" w:hAnsiTheme="majorEastAsia" w:eastAsiaTheme="majorEastAsia" w:cstheme="majorEastAsia"/>
          <w:b/>
          <w:sz w:val="28"/>
          <w:szCs w:val="28"/>
        </w:rPr>
        <w:t>2025学年学年计划</w:t>
      </w:r>
    </w:p>
    <w:p w14:paraId="0ED7CC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2025学年是我个人三年成长规划的关键推进年，立足“聚焦小学低段儿童阅读，构建阶梯式阅读指导体系”的长期目标，结合工作室年度发展部署，特制定本学年计划。本学年以2年级儿童阅读能力进阶为核心靶向，紧扣专业素养提升、教</w:t>
      </w:r>
      <w:bookmarkStart w:id="5" w:name="_GoBack"/>
      <w:bookmarkEnd w:id="5"/>
      <w:r>
        <w:rPr>
          <w:rFonts w:hint="eastAsia" w:asciiTheme="majorEastAsia" w:hAnsiTheme="majorEastAsia" w:eastAsiaTheme="majorEastAsia" w:cstheme="majorEastAsia"/>
          <w:sz w:val="24"/>
          <w:szCs w:val="24"/>
        </w:rPr>
        <w:t>学实践创新、科研成果沉淀三大主线，扎实推进各项任务落地，为实现三年规划中“构建中段阅读能力提升阶梯”目标筑牢根基，同时积极融入工作室团队建设，实现个人成长与团队发展同频共振。</w:t>
      </w:r>
    </w:p>
    <w:p w14:paraId="06F95D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2" w:firstLineChars="200"/>
        <w:jc w:val="left"/>
        <w:textAlignment w:val="auto"/>
        <w:outlineLvl w:val="1"/>
        <w:rPr>
          <w:rFonts w:hint="eastAsia" w:asciiTheme="majorEastAsia" w:hAnsiTheme="majorEastAsia" w:eastAsiaTheme="majorEastAsia" w:cstheme="majorEastAsia"/>
          <w:sz w:val="24"/>
          <w:szCs w:val="24"/>
        </w:rPr>
      </w:pPr>
      <w:bookmarkStart w:id="0" w:name="heading_0"/>
      <w:r>
        <w:rPr>
          <w:rFonts w:hint="eastAsia" w:asciiTheme="majorEastAsia" w:hAnsiTheme="majorEastAsia" w:eastAsiaTheme="majorEastAsia" w:cstheme="majorEastAsia"/>
          <w:b/>
          <w:sz w:val="24"/>
          <w:szCs w:val="24"/>
        </w:rPr>
        <w:t>一、学年发展总目标</w:t>
      </w:r>
      <w:bookmarkEnd w:id="0"/>
    </w:p>
    <w:p w14:paraId="06286A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本学年核心目标围绕小学2年级儿童阅读能力发展需求，以“破解图画与文字过渡阅读难题、构建阶梯式阅读能力培养模型”为重点，通过系统的专业阅读、精准的课堂实践、规范的教育研究，实现三大提升：一是深化低段阅读教学理论储备，形成适配中段儿童阅读发展的理论认知体系；二是打磨具有针对性的中段阅读教学课堂，探索可复制的“过渡阶段阅读教学模型”；三是积累中段阅读教学典型案例，完成阶段性研究成果固化，助力个人专业能力向研究型、特色型方向进阶，同时为工作室低段阅读教学资源共建贡献力量。</w:t>
      </w:r>
    </w:p>
    <w:p w14:paraId="0B0B99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2" w:firstLineChars="200"/>
        <w:jc w:val="left"/>
        <w:textAlignment w:val="auto"/>
        <w:outlineLvl w:val="1"/>
        <w:rPr>
          <w:rFonts w:hint="eastAsia" w:asciiTheme="majorEastAsia" w:hAnsiTheme="majorEastAsia" w:eastAsiaTheme="majorEastAsia" w:cstheme="majorEastAsia"/>
          <w:sz w:val="24"/>
          <w:szCs w:val="24"/>
        </w:rPr>
      </w:pPr>
      <w:bookmarkStart w:id="1" w:name="heading_1"/>
      <w:r>
        <w:rPr>
          <w:rFonts w:hint="eastAsia" w:asciiTheme="majorEastAsia" w:hAnsiTheme="majorEastAsia" w:eastAsiaTheme="majorEastAsia" w:cstheme="majorEastAsia"/>
          <w:b/>
          <w:sz w:val="24"/>
          <w:szCs w:val="24"/>
        </w:rPr>
        <w:t>二、核心发展维度与实施路径</w:t>
      </w:r>
      <w:bookmarkEnd w:id="1"/>
    </w:p>
    <w:p w14:paraId="6E08D3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2" w:firstLineChars="200"/>
        <w:jc w:val="left"/>
        <w:textAlignment w:val="auto"/>
        <w:outlineLvl w:val="2"/>
        <w:rPr>
          <w:rFonts w:hint="eastAsia" w:asciiTheme="majorEastAsia" w:hAnsiTheme="majorEastAsia" w:eastAsiaTheme="majorEastAsia" w:cstheme="majorEastAsia"/>
          <w:sz w:val="24"/>
          <w:szCs w:val="24"/>
        </w:rPr>
      </w:pPr>
      <w:bookmarkStart w:id="2" w:name="heading_2"/>
      <w:r>
        <w:rPr>
          <w:rFonts w:hint="eastAsia" w:asciiTheme="majorEastAsia" w:hAnsiTheme="majorEastAsia" w:eastAsiaTheme="majorEastAsia" w:cstheme="majorEastAsia"/>
          <w:b/>
          <w:sz w:val="24"/>
          <w:szCs w:val="24"/>
        </w:rPr>
        <w:t>（一）专业阅读与理论内化</w:t>
      </w:r>
      <w:bookmarkEnd w:id="2"/>
    </w:p>
    <w:p w14:paraId="783313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以“精准对接中段阅读教学需求”为导向，开展分层分类阅读，实现理论知识与教学实践深度融合，为课堂教学和课题研究提供支撑。</w:t>
      </w:r>
    </w:p>
    <w:p w14:paraId="1446E09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聚焦核心理论，深耕中段阅读教学要点。精读《小学中段阅读教学过渡策略》《儿童阅读发展心理学（中段专项）》等专著，重点研读2年级儿童从图画阅读向文字阅读过渡的认知规律、常见问题及解决路径，每月撰写1篇深度读书笔记，全年累计不少于12篇，重点提炼可迁移的理论观点，形成“理论要点-教学应用”对应清单，打通理论与实践的转化通道。</w:t>
      </w:r>
    </w:p>
    <w:p w14:paraId="7CEAC24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紧跟课标要求，对标行业前沿动态。重温《义务教育语文课程标准（2022年版）》中低段阅读核心素养要求，结合工作室研讨主题，研读区域内中段阅读教学优秀论文、课题报告，每季度梳理1份“中段阅读教学前沿动态摘要”，重点关注分层教学、任务驱动式阅读等先进理念，更新教学认知，确保教学实践贴合课标要求与行业趋势。</w:t>
      </w:r>
    </w:p>
    <w:p w14:paraId="0070FA8E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联动工作室，开展专题共读研讨。积极参与工作室组织的低段阅读教学专题共读活动，围绕“图画与文字过渡阅读指导”等核心议题，主动分享阅读心得与教学困惑，与团队成员共同探讨理论应用场景，每学期参与不少于4次专题共读研讨，借助团队智慧深化理论内化，形成互助共进的阅读氛围。</w:t>
      </w:r>
    </w:p>
    <w:p w14:paraId="4BE5E7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2" w:firstLineChars="200"/>
        <w:jc w:val="left"/>
        <w:textAlignment w:val="auto"/>
        <w:outlineLvl w:val="2"/>
        <w:rPr>
          <w:rFonts w:hint="eastAsia" w:asciiTheme="majorEastAsia" w:hAnsiTheme="majorEastAsia" w:eastAsiaTheme="majorEastAsia" w:cstheme="majorEastAsia"/>
          <w:sz w:val="24"/>
          <w:szCs w:val="24"/>
        </w:rPr>
      </w:pPr>
      <w:bookmarkStart w:id="3" w:name="heading_3"/>
      <w:r>
        <w:rPr>
          <w:rFonts w:hint="eastAsia" w:asciiTheme="majorEastAsia" w:hAnsiTheme="majorEastAsia" w:eastAsiaTheme="majorEastAsia" w:cstheme="majorEastAsia"/>
          <w:b/>
          <w:sz w:val="24"/>
          <w:szCs w:val="24"/>
        </w:rPr>
        <w:t>（二）课堂实践与模型探索</w:t>
      </w:r>
      <w:bookmarkEnd w:id="3"/>
    </w:p>
    <w:p w14:paraId="62281B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以2年级课堂为核心阵地，结合学年目标打磨优质课例，探索适配中段儿童的阅读教学模型，提升课堂教学实效与创新能力。</w:t>
      </w:r>
    </w:p>
    <w:p w14:paraId="445E62E8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打磨阶梯式阅读课堂，突破教学难点。围绕“图画与文字过渡阅读”核心，选取2年级教材中3个重点单元，设计阶梯式阅读教学方案，分阶段推进“图画感知-文字关联-连贯阅读-表达输出”教学环节，每单元打磨1节精品课，邀请工作室导师、同伴听课评课，结合学生课堂反馈与阅读效果，反复优化教学流程，形成3份可复用的中段阅读教学教案，提炼出“情境导入-任务驱动-分层指导-反馈提升”的课堂教学模型雏形。</w:t>
      </w:r>
    </w:p>
    <w:p w14:paraId="3CBD12DB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开展特色实践活动，助力能力进阶。策划实施“中段亲子共读打卡”“故事续写大赛”2项特色阅读活动，结合2年级学生乐于表达、好奇心强的特点，设计互动性强、层次清晰的活动任务，制定详细的活动方案、评价标准与反馈机制，全程记录活动过程与学生表现，总结活动对学生阅读能力提升的实际效果，形成1份完整的特色活动案例报告，丰富中段阅读教学实践形式。</w:t>
      </w:r>
    </w:p>
    <w:p w14:paraId="69F4B8AE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观摩交流取经，优化教学技巧。充分利用工作室搭建的交流平台，观摩工作室优秀成员中段阅读教学示范课，每学期不少于3次，提炼可迁移的教学技巧（如图文转化引导、分层提问设计等），融入自身课堂；同时主动承担1节工作室内部展示课，展示本学年课堂实践成果，收集团队建议，进一步优化教学模型，提升课堂教学的专业性与创新性。</w:t>
      </w:r>
    </w:p>
    <w:p w14:paraId="088CF6B1"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关注学生差异，落实分层指导。结合2年级学生阅读基础差异，建立班级学生阅读能力档案，针对不同层次学生设计个性化阅读任务与指导方案，定期开展一对一阅读辅导，记录学生阅读能力提升轨迹，每学期形成1份学生分层阅读指导总结，确保阶梯式阅读教学覆盖全体学生，助力每个学生实现阅读能力进阶。</w:t>
      </w:r>
    </w:p>
    <w:p w14:paraId="248D0E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2" w:firstLineChars="200"/>
        <w:jc w:val="left"/>
        <w:textAlignment w:val="auto"/>
        <w:outlineLvl w:val="2"/>
        <w:rPr>
          <w:rFonts w:hint="eastAsia" w:asciiTheme="majorEastAsia" w:hAnsiTheme="majorEastAsia" w:eastAsiaTheme="majorEastAsia" w:cstheme="majorEastAsia"/>
          <w:sz w:val="24"/>
          <w:szCs w:val="24"/>
        </w:rPr>
      </w:pPr>
      <w:bookmarkStart w:id="4" w:name="heading_4"/>
      <w:r>
        <w:rPr>
          <w:rFonts w:hint="eastAsia" w:asciiTheme="majorEastAsia" w:hAnsiTheme="majorEastAsia" w:eastAsiaTheme="majorEastAsia" w:cstheme="majorEastAsia"/>
          <w:b/>
          <w:sz w:val="24"/>
          <w:szCs w:val="24"/>
        </w:rPr>
        <w:t>（三）教育研究与成果固化</w:t>
      </w:r>
      <w:bookmarkEnd w:id="4"/>
    </w:p>
    <w:p w14:paraId="699CD4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以本学年教学实践为基础，聚焦研究课题，规范积累过程性资料，完成阶段性成果固化，提升教育科研能力。</w:t>
      </w:r>
    </w:p>
    <w:p w14:paraId="025A677B">
      <w:pPr>
        <w:keepNext w:val="0"/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推进专题课题研究，积累过程性资料。围绕三年规划中的“2年级儿童图画与文字过渡阅读的指导策略研究”课题，将本学年课堂实践、特色活动、学生辅导中的典型案例、数据、反思等系统整理，建立课题研究资料台账，每季度撰写1份课题研究进展报告，梳理研究中的亮点与问题，主动向工作室课题指导老师请教，优化研究思路，确保课题研究有序推进。</w:t>
      </w:r>
    </w:p>
    <w:p w14:paraId="2E04AAE4">
      <w:pPr>
        <w:keepNext w:val="0"/>
        <w:keepLines w:val="0"/>
        <w:pageBreakBefore w:val="0"/>
        <w:widowControl w:val="0"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提炼典型案例，固化教学经验。从本学年打磨的精品课、特色活动、分层指导实践中，筛选3-4个优质案例，详细记录教学目标、实施过程、学生反馈、教学效果及反思改进方向，重点突出“图画与文字过渡阅读指导”策略的应用，打磨形成高质量的案例集，为后续课题结题与成果推广奠定基础。</w:t>
      </w:r>
    </w:p>
    <w:p w14:paraId="23BE7C70"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撰写研究文稿，提升成果转化能力。结合本学年教学实践与课题研究，撰写1篇关于中段阅读教学的论文或教学随笔，聚焦“过渡阶段阅读指导策略”核心内容，融入自身教学经验与思考，主动参与工作室文稿互评活动，根据团队建议修改完善，力争在区县级教学论文评比中获奖，实现教学实践向科研成果的转化。</w:t>
      </w:r>
    </w:p>
    <w:p w14:paraId="158C3B50"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参与资源共建，发挥辐射作用。积极参与工作室低段阅读教学资源库共建，将本学年打磨的教案、案例、活动方案等优质资源整理提交，助力团队资源共享；同时在工作室内部开展1次专题分享，向同伴介绍中段阅读课堂教学模型与分层指导经验，实现成果的内部辐射，推动团队共同提升。</w:t>
      </w:r>
    </w:p>
    <w:p w14:paraId="071DB1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88" w:lineRule="auto"/>
        <w:ind w:left="0" w:firstLine="48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E555DF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0599E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singleLevel"/>
    <w:tmpl w:val="9239341B"/>
    <w:lvl w:ilvl="0" w:tentative="0">
      <w:start w:val="3"/>
      <w:numFmt w:val="decimal"/>
      <w:lvlText w:val="%1."/>
      <w:lvlJc w:val="left"/>
      <w:rPr>
        <w:color w:val="3370FF"/>
      </w:rPr>
    </w:lvl>
  </w:abstractNum>
  <w:abstractNum w:abstractNumId="1">
    <w:nsid w:val="B5E306ED"/>
    <w:multiLevelType w:val="singleLevel"/>
    <w:tmpl w:val="B5E306ED"/>
    <w:lvl w:ilvl="0" w:tentative="0">
      <w:start w:val="2"/>
      <w:numFmt w:val="decimal"/>
      <w:lvlText w:val="%1."/>
      <w:lvlJc w:val="left"/>
      <w:rPr>
        <w:color w:val="3370FF"/>
      </w:rPr>
    </w:lvl>
  </w:abstractNum>
  <w:abstractNum w:abstractNumId="2">
    <w:nsid w:val="BF205925"/>
    <w:multiLevelType w:val="singleLevel"/>
    <w:tmpl w:val="BF205925"/>
    <w:lvl w:ilvl="0" w:tentative="0">
      <w:start w:val="1"/>
      <w:numFmt w:val="decimal"/>
      <w:lvlText w:val="%1."/>
      <w:lvlJc w:val="left"/>
      <w:rPr>
        <w:color w:val="3370FF"/>
      </w:rPr>
    </w:lvl>
  </w:abstractNum>
  <w:abstractNum w:abstractNumId="3">
    <w:nsid w:val="CF092B84"/>
    <w:multiLevelType w:val="singleLevel"/>
    <w:tmpl w:val="CF092B84"/>
    <w:lvl w:ilvl="0" w:tentative="0">
      <w:start w:val="2"/>
      <w:numFmt w:val="decimal"/>
      <w:lvlText w:val="%1."/>
      <w:lvlJc w:val="left"/>
      <w:rPr>
        <w:color w:val="3370FF"/>
      </w:rPr>
    </w:lvl>
  </w:abstractNum>
  <w:abstractNum w:abstractNumId="4">
    <w:nsid w:val="0053208E"/>
    <w:multiLevelType w:val="singleLevel"/>
    <w:tmpl w:val="0053208E"/>
    <w:lvl w:ilvl="0" w:tentative="0">
      <w:start w:val="1"/>
      <w:numFmt w:val="decimal"/>
      <w:lvlText w:val="%1."/>
      <w:lvlJc w:val="left"/>
      <w:rPr>
        <w:color w:val="3370FF"/>
      </w:rPr>
    </w:lvl>
  </w:abstractNum>
  <w:abstractNum w:abstractNumId="5">
    <w:nsid w:val="0248C179"/>
    <w:multiLevelType w:val="singleLevel"/>
    <w:tmpl w:val="0248C179"/>
    <w:lvl w:ilvl="0" w:tentative="0">
      <w:start w:val="2"/>
      <w:numFmt w:val="decimal"/>
      <w:lvlText w:val="%1."/>
      <w:lvlJc w:val="left"/>
      <w:rPr>
        <w:color w:val="3370FF"/>
      </w:rPr>
    </w:lvl>
  </w:abstractNum>
  <w:abstractNum w:abstractNumId="6">
    <w:nsid w:val="03D62ECE"/>
    <w:multiLevelType w:val="singleLevel"/>
    <w:tmpl w:val="03D62ECE"/>
    <w:lvl w:ilvl="0" w:tentative="0">
      <w:start w:val="3"/>
      <w:numFmt w:val="decimal"/>
      <w:lvlText w:val="%1."/>
      <w:lvlJc w:val="left"/>
      <w:rPr>
        <w:color w:val="3370FF"/>
      </w:rPr>
    </w:lvl>
  </w:abstractNum>
  <w:abstractNum w:abstractNumId="7">
    <w:nsid w:val="25B654F3"/>
    <w:multiLevelType w:val="singleLevel"/>
    <w:tmpl w:val="25B654F3"/>
    <w:lvl w:ilvl="0" w:tentative="0">
      <w:start w:val="4"/>
      <w:numFmt w:val="decimal"/>
      <w:lvlText w:val="%1."/>
      <w:lvlJc w:val="left"/>
      <w:rPr>
        <w:color w:val="3370FF"/>
      </w:rPr>
    </w:lvl>
  </w:abstractNum>
  <w:abstractNum w:abstractNumId="8">
    <w:nsid w:val="2A8F537B"/>
    <w:multiLevelType w:val="singleLevel"/>
    <w:tmpl w:val="2A8F537B"/>
    <w:lvl w:ilvl="0" w:tentative="0">
      <w:start w:val="4"/>
      <w:numFmt w:val="decimal"/>
      <w:lvlText w:val="%1."/>
      <w:lvlJc w:val="left"/>
      <w:rPr>
        <w:color w:val="3370FF"/>
      </w:rPr>
    </w:lvl>
  </w:abstractNum>
  <w:abstractNum w:abstractNumId="9">
    <w:nsid w:val="59ADCABA"/>
    <w:multiLevelType w:val="singleLevel"/>
    <w:tmpl w:val="59ADCABA"/>
    <w:lvl w:ilvl="0" w:tentative="0">
      <w:start w:val="3"/>
      <w:numFmt w:val="decimal"/>
      <w:lvlText w:val="%1."/>
      <w:lvlJc w:val="left"/>
      <w:rPr>
        <w:color w:val="3370FF"/>
      </w:rPr>
    </w:lvl>
  </w:abstractNum>
  <w:abstractNum w:abstractNumId="10">
    <w:nsid w:val="72183CF9"/>
    <w:multiLevelType w:val="singleLevel"/>
    <w:tmpl w:val="72183CF9"/>
    <w:lvl w:ilvl="0" w:tentative="0">
      <w:start w:val="1"/>
      <w:numFmt w:val="decimal"/>
      <w:lvlText w:val="%1."/>
      <w:lvlJc w:val="left"/>
      <w:rPr>
        <w:color w:val="3370FF"/>
      </w:rPr>
    </w:lvl>
  </w:abstractNum>
  <w:num w:numId="1">
    <w:abstractNumId w:val="4"/>
  </w:num>
  <w:num w:numId="2">
    <w:abstractNumId w:val="3"/>
  </w:num>
  <w:num w:numId="3">
    <w:abstractNumId w:val="9"/>
  </w:num>
  <w:num w:numId="4">
    <w:abstractNumId w:val="2"/>
  </w:num>
  <w:num w:numId="5">
    <w:abstractNumId w:val="1"/>
  </w:num>
  <w:num w:numId="6">
    <w:abstractNumId w:val="6"/>
  </w:num>
  <w:num w:numId="7">
    <w:abstractNumId w:val="7"/>
  </w:num>
  <w:num w:numId="8">
    <w:abstractNumId w:val="10"/>
  </w:num>
  <w:num w:numId="9">
    <w:abstractNumId w:val="5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D463D8"/>
    <w:rsid w:val="14972AEC"/>
    <w:rsid w:val="2BCF6B9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2440</Words>
  <Characters>2456</Characters>
  <TotalTime>2</TotalTime>
  <ScaleCrop>false</ScaleCrop>
  <LinksUpToDate>false</LinksUpToDate>
  <CharactersWithSpaces>2458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2026-01-19T06:19:00Z</dcterms:created>
  <dc:creator>Apache POI</dc:creator>
  <cp:lastModifiedBy>WPS_1483175526</cp:lastModifiedBy>
  <dcterms:modified xsi:type="dcterms:W3CDTF">2026-01-19T06:22:33Z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eyJoZGlkIjoiNzQ1OTM2YjU2OWFjMjc2Mzc4Y2RiOTYyMzg5NmQzZTciLCJ1c2VySWQiOiIyNTkyNjc3NjMifQ==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30E533BEF937410D82FFDE1BA82817D3_13</vt:lpwstr>
  </property>
</Properties>
</file>