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83FC5">
      <w:pPr>
        <w:jc w:val="left"/>
        <w:rPr>
          <w:rFonts w:ascii="仿宋_GB2312" w:hAnsi="方正小标宋简体" w:eastAsia="仿宋_GB2312" w:cs="方正小标宋简体"/>
          <w:sz w:val="32"/>
          <w:szCs w:val="32"/>
        </w:rPr>
      </w:pPr>
      <w:bookmarkStart w:id="0" w:name="_GoBack"/>
      <w:bookmarkEnd w:id="0"/>
      <w:r>
        <w:rPr>
          <w:rFonts w:hint="eastAsia" w:ascii="仿宋_GB2312" w:hAnsi="方正小标宋简体" w:eastAsia="仿宋_GB2312" w:cs="方正小标宋简体"/>
          <w:sz w:val="32"/>
          <w:szCs w:val="32"/>
        </w:rPr>
        <w:t>附件1</w:t>
      </w:r>
    </w:p>
    <w:p w14:paraId="3EBC2B07">
      <w:pPr>
        <w:spacing w:after="280" w:afterLines="50" w:line="560" w:lineRule="exact"/>
        <w:jc w:val="center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温州市“未来教育”项目研究综合改革实验区培育导向性指标体系（试行）</w:t>
      </w:r>
    </w:p>
    <w:tbl>
      <w:tblPr>
        <w:tblStyle w:val="6"/>
        <w:tblW w:w="13893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6"/>
        <w:gridCol w:w="2319"/>
        <w:gridCol w:w="10448"/>
      </w:tblGrid>
      <w:tr w14:paraId="5DA33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126" w:type="dxa"/>
            <w:vAlign w:val="center"/>
          </w:tcPr>
          <w:p w14:paraId="53019C0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  <w:tc>
          <w:tcPr>
            <w:tcW w:w="2319" w:type="dxa"/>
            <w:vAlign w:val="center"/>
          </w:tcPr>
          <w:p w14:paraId="03A399E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实践</w:t>
            </w:r>
            <w:r>
              <w:rPr>
                <w:rFonts w:hint="eastAsia" w:ascii="黑体" w:hAnsi="黑体" w:eastAsia="黑体" w:cs="黑体"/>
                <w:sz w:val="24"/>
              </w:rPr>
              <w:t>样态</w:t>
            </w:r>
          </w:p>
        </w:tc>
        <w:tc>
          <w:tcPr>
            <w:tcW w:w="10448" w:type="dxa"/>
            <w:vAlign w:val="center"/>
          </w:tcPr>
          <w:p w14:paraId="74C022F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</w:rPr>
              <w:t>培育要点与方向</w:t>
            </w:r>
          </w:p>
        </w:tc>
      </w:tr>
      <w:tr w14:paraId="771E5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26" w:type="dxa"/>
            <w:vMerge w:val="restart"/>
            <w:vAlign w:val="center"/>
          </w:tcPr>
          <w:p w14:paraId="22412BA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基础性</w:t>
            </w:r>
          </w:p>
          <w:p w14:paraId="48F3C40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指标</w:t>
            </w:r>
          </w:p>
        </w:tc>
        <w:tc>
          <w:tcPr>
            <w:tcW w:w="2319" w:type="dxa"/>
            <w:vMerge w:val="restart"/>
            <w:vAlign w:val="center"/>
          </w:tcPr>
          <w:p w14:paraId="26E84BA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高水平均衡</w:t>
            </w:r>
          </w:p>
        </w:tc>
        <w:tc>
          <w:tcPr>
            <w:tcW w:w="10448" w:type="dxa"/>
            <w:vAlign w:val="center"/>
          </w:tcPr>
          <w:p w14:paraId="03B7C63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县域教育现代化发展水平监测结果为B档及以上，或居全市前四。</w:t>
            </w:r>
          </w:p>
        </w:tc>
      </w:tr>
      <w:tr w14:paraId="432B8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126" w:type="dxa"/>
            <w:vMerge w:val="continue"/>
          </w:tcPr>
          <w:p w14:paraId="03CC338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28AF340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  <w:vAlign w:val="center"/>
          </w:tcPr>
          <w:p w14:paraId="22494C5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创成全国义务教育优质均衡发展县，或学前教育普及普惠县，或县域基础教育生态监测结果为A档。</w:t>
            </w:r>
          </w:p>
        </w:tc>
      </w:tr>
      <w:tr w14:paraId="052A6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126" w:type="dxa"/>
            <w:vMerge w:val="restart"/>
            <w:vAlign w:val="center"/>
          </w:tcPr>
          <w:p w14:paraId="646FB6C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探索性</w:t>
            </w:r>
          </w:p>
          <w:p w14:paraId="1FB9B15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指标</w:t>
            </w:r>
          </w:p>
        </w:tc>
        <w:tc>
          <w:tcPr>
            <w:tcW w:w="2319" w:type="dxa"/>
            <w:vMerge w:val="restart"/>
            <w:vAlign w:val="center"/>
          </w:tcPr>
          <w:p w14:paraId="1B2EBE5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“未来学生”</w:t>
            </w:r>
          </w:p>
          <w:p w14:paraId="56D64E7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培育的温州模式</w:t>
            </w:r>
          </w:p>
          <w:p w14:paraId="7AC2604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（区域、学校的共性指标，后表不再重复</w:t>
            </w:r>
            <w:r>
              <w:rPr>
                <w:rFonts w:hint="eastAsia" w:ascii="楷体_GB2312" w:hAnsi="楷体_GB2312" w:eastAsia="楷体_GB2312" w:cs="楷体_GB2312"/>
                <w:color w:val="auto"/>
                <w:sz w:val="18"/>
              </w:rPr>
              <w:t>）</w:t>
            </w:r>
          </w:p>
        </w:tc>
        <w:tc>
          <w:tcPr>
            <w:tcW w:w="10448" w:type="dxa"/>
          </w:tcPr>
          <w:p w14:paraId="1BD8D38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1.育人模式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：立足中国学生发展核心素养框架，参照21世纪国际化人才要求，突出适应终身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发展和社会发展需要的必备品格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、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关键能力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，推进“三全四课五育”（三全：全员、全程、全方位；四课：课程、课堂、课业、课外；五育：德智体美劳）育人模式创新，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推进教联体机制建设与校家社协同育人，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培育面向世界、走向未来的时代新人。</w:t>
            </w:r>
          </w:p>
        </w:tc>
      </w:tr>
      <w:tr w14:paraId="28E91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126" w:type="dxa"/>
            <w:vMerge w:val="continue"/>
            <w:vAlign w:val="center"/>
          </w:tcPr>
          <w:p w14:paraId="32DDBF5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4418F90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30FB938A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2.必备品格：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落实立德树人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加强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理想信念教育，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持续推进社会主义核心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Hans"/>
              </w:rPr>
              <w:t>价值观教育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和大中小思政一体化建设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。突出文化理解与传承素养，结合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Hans"/>
              </w:rPr>
              <w:t>浙江精神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和新时代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Hans"/>
              </w:rPr>
              <w:t>温州人精神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，培育全球视野的善行者、自强不息的健行者、学会学习的智行者、敢为人先的创行者。坚持健康第一，健全明眸皓齿、体育锻炼、美育实践、心理调适、营养健康等长效机制，加强中小学生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(幼儿）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体质健康管理。</w:t>
            </w:r>
          </w:p>
        </w:tc>
      </w:tr>
      <w:tr w14:paraId="73EEF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26" w:type="dxa"/>
            <w:vMerge w:val="continue"/>
            <w:vAlign w:val="center"/>
          </w:tcPr>
          <w:p w14:paraId="7B533FB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2005D5B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05399D5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3.关键能力：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突出四大领域基础素养（阅读素养、数学素养、科学素养、信息素养）和4C能力（创造创新能力、批判性思维和问题解决能力、合作能力、沟通协作能力），深化“两新”（新温商、新瓯匠）、“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四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小”（小文学家、小数学家、小科学家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小工程师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）培养和创客教育、STEAM教育等行动。</w:t>
            </w:r>
          </w:p>
        </w:tc>
      </w:tr>
      <w:tr w14:paraId="14AD9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1126" w:type="dxa"/>
            <w:vMerge w:val="continue"/>
          </w:tcPr>
          <w:p w14:paraId="138B448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restart"/>
            <w:vAlign w:val="center"/>
          </w:tcPr>
          <w:p w14:paraId="69E26D7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“未来学校”</w:t>
            </w:r>
          </w:p>
          <w:p w14:paraId="6464E58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高标准建设</w:t>
            </w:r>
          </w:p>
        </w:tc>
        <w:tc>
          <w:tcPr>
            <w:tcW w:w="10448" w:type="dxa"/>
          </w:tcPr>
          <w:p w14:paraId="78E21A9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4.布局规划：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科学编制教育设施布局专项规划，完善规划刚性执行、高效建设机制。深入开展“未来教育”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典型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实践项目培育，形成点面结合的矩阵效应，打造市级“未来教育”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典型案例学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（幼儿园）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3所以上（尽可能覆盖各学段）；有条件地区可打造“未来教育”虚拟体验中心。</w:t>
            </w:r>
          </w:p>
        </w:tc>
      </w:tr>
      <w:tr w14:paraId="135A2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2" w:hRule="atLeast"/>
        </w:trPr>
        <w:tc>
          <w:tcPr>
            <w:tcW w:w="1126" w:type="dxa"/>
            <w:vMerge w:val="continue"/>
          </w:tcPr>
          <w:p w14:paraId="35F5FCA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4774E8C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24CAA8B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5.建设品质：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新建学校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（幼儿园）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按照“未来学校”理念，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校园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管理团队全程参与建设，提升校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园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建筑品质；县域内打造“未来学校（幼儿园）”建筑空间全省样本3所以上。开展老校焕新行动，基于新理念、新技术的应用，对现有学校（外立面、普通教室、功能用房、图书馆、体育场馆、非正式学习空间等）整体或局部优化改造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全面开展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  <w:lang w:eastAsia="zh-CN"/>
              </w:rPr>
              <w:t>未来乡村学校、未来乡村园培育</w:t>
            </w:r>
            <w:r>
              <w:rPr>
                <w:rFonts w:ascii="仿宋_GB2312" w:hAnsi="仿宋_GB2312" w:eastAsia="仿宋_GB2312" w:cs="仿宋_GB2312"/>
                <w:color w:val="auto"/>
                <w:sz w:val="24"/>
                <w:highlight w:val="none"/>
              </w:rPr>
              <w:t>。</w:t>
            </w:r>
          </w:p>
        </w:tc>
      </w:tr>
      <w:tr w14:paraId="12162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126" w:type="dxa"/>
            <w:vMerge w:val="continue"/>
          </w:tcPr>
          <w:p w14:paraId="4C2208B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6553780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4CE7CF5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6.智慧校园：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通过信息化、数字化、智能化手段，将学校管理、课堂教学、活动保障、校园生活等进行充分融合，实现智慧化服务和管理。县域智慧校园建成率达70%以上，智安校园达50%以上。</w:t>
            </w:r>
          </w:p>
        </w:tc>
      </w:tr>
      <w:tr w14:paraId="7A52A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126" w:type="dxa"/>
            <w:vMerge w:val="continue"/>
          </w:tcPr>
          <w:p w14:paraId="362CAAA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restart"/>
            <w:vAlign w:val="center"/>
          </w:tcPr>
          <w:p w14:paraId="06DB4EB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“未来课堂”</w:t>
            </w:r>
          </w:p>
          <w:p w14:paraId="24950D4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高质量育人</w:t>
            </w:r>
          </w:p>
        </w:tc>
        <w:tc>
          <w:tcPr>
            <w:tcW w:w="10448" w:type="dxa"/>
          </w:tcPr>
          <w:p w14:paraId="251678E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7.课程改革：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突出课程育人，突破学科边界，统筹推进国家课程校本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，地方课程、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（园）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本课程特色化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，构建指向未来的区域课程新生态，满足不同学生的个性化学习需求。</w:t>
            </w:r>
          </w:p>
        </w:tc>
      </w:tr>
      <w:tr w14:paraId="39CCDD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126" w:type="dxa"/>
            <w:vMerge w:val="continue"/>
          </w:tcPr>
          <w:p w14:paraId="4C2EEF8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05F5258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0FD992D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8.课堂变革：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区域整体推进素养为本“未来课堂”建设行动、五育融合“项目化学习”、教学评一致性“素养评价”等改革行动。实施“城乡共学”项目化学习推进计划，促进乡村教育全面提升。</w:t>
            </w:r>
          </w:p>
        </w:tc>
      </w:tr>
      <w:tr w14:paraId="22635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26" w:type="dxa"/>
            <w:vMerge w:val="continue"/>
          </w:tcPr>
          <w:p w14:paraId="12BC8D3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1DBB27A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410E2D9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9.课业轻负：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加强中小学作业管理，探索“轻负高质”区域“素养作业”，将作业管理纳入学校办学质量评价。把禁止留作业作为校外培训机构日常监管的重要内容，切实避免校内减负、校外增负。</w:t>
            </w:r>
          </w:p>
        </w:tc>
      </w:tr>
      <w:tr w14:paraId="469C7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126" w:type="dxa"/>
            <w:vMerge w:val="continue"/>
          </w:tcPr>
          <w:p w14:paraId="570F056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58619A8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4497662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10.课外拓展：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探索“互联网+”开放教学，打造在线答疑、名师讲堂等云平台，形成“优质课程在身边”泛在化学习格局。加强中小学生劳动教育和职业体验，完善研学旅行和校外综合实践教育。</w:t>
            </w:r>
          </w:p>
        </w:tc>
      </w:tr>
      <w:tr w14:paraId="5EB69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1126" w:type="dxa"/>
            <w:vMerge w:val="continue"/>
          </w:tcPr>
          <w:p w14:paraId="273159F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restart"/>
            <w:vAlign w:val="center"/>
          </w:tcPr>
          <w:p w14:paraId="1E51DA1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“未来教师（校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（园）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长）”</w:t>
            </w:r>
          </w:p>
          <w:p w14:paraId="0554FBC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高素质队伍</w:t>
            </w:r>
          </w:p>
        </w:tc>
        <w:tc>
          <w:tcPr>
            <w:tcW w:w="10448" w:type="dxa"/>
          </w:tcPr>
          <w:p w14:paraId="38D41FF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11.培养目标：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坚持职业化、专业化、年轻化导向，打造“教育家型”校长队伍；按照“未来教师”角色转型重构要求，打造“德才双优型”教师、“导师型”班主任队伍。</w:t>
            </w:r>
          </w:p>
        </w:tc>
      </w:tr>
      <w:tr w14:paraId="35010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</w:trPr>
        <w:tc>
          <w:tcPr>
            <w:tcW w:w="1126" w:type="dxa"/>
            <w:vMerge w:val="continue"/>
          </w:tcPr>
          <w:p w14:paraId="2478805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55ADF28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10006BF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12.培养内容：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强化基础性、需求性、引领性培训，全面提升专业素养。校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（园）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长侧重于未来教育的理念革新、学校科学规划与建设的能力、面向未来的管理能力、教育新技术的掌握应用。教师侧重于师德涵养、理念更新、教学方式升级、新技术与教学融合能力以及研究、创新、跨学科、信息等素养提升。班主任侧重于理解教育的本质内涵、智慧的教育方式、科学的思维方式、创新的个性化教育能力。</w:t>
            </w:r>
          </w:p>
        </w:tc>
      </w:tr>
      <w:tr w14:paraId="01197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126" w:type="dxa"/>
            <w:vMerge w:val="continue"/>
          </w:tcPr>
          <w:p w14:paraId="690D474A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6682004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4E6620D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13.培养模式：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创新推进县域教师“教研训一体化”发展，丰富名家授课、实地参访、案例探究、同伴互研、跟岗实践、校本研训等方式，提升研训实效。加强“云研训”建设，实现线上线下有效衔接。</w:t>
            </w:r>
          </w:p>
        </w:tc>
      </w:tr>
      <w:tr w14:paraId="6D25F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26" w:type="dxa"/>
            <w:vMerge w:val="continue"/>
          </w:tcPr>
          <w:p w14:paraId="4794CF1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4E2622A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64D6712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14.培养机制：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按照未来的教师专业素养要求，完善骨干教师培养评选、职称评审等机制，加强校本培训课程引领，拓宽海外研修、国际化交流合作渠道；完善名优教师引育机制。促进教研、师训员综合素养和能力的提升，成为“未来教师”教育理念、模式变革的引领示范者。</w:t>
            </w:r>
          </w:p>
        </w:tc>
      </w:tr>
      <w:tr w14:paraId="443A6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1126" w:type="dxa"/>
            <w:vMerge w:val="continue"/>
          </w:tcPr>
          <w:p w14:paraId="7C5F00B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restart"/>
            <w:vAlign w:val="center"/>
          </w:tcPr>
          <w:p w14:paraId="7DC5D99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“未来社区”</w:t>
            </w:r>
          </w:p>
          <w:p w14:paraId="223408F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高品质服务</w:t>
            </w:r>
          </w:p>
        </w:tc>
        <w:tc>
          <w:tcPr>
            <w:tcW w:w="10448" w:type="dxa"/>
          </w:tcPr>
          <w:p w14:paraId="0871830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15.全龄段社区课堂：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建成全开放、智慧化、一站式实体运作的“幸福学堂”，包括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托幼一体化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幼儿保教融合课堂、青少年“四点钟课堂”、成人“乐学课堂”、“医养教”融合老年教育综合体等；以新技术升级家长学校建设，实施家长素养提升工程。</w:t>
            </w:r>
          </w:p>
        </w:tc>
      </w:tr>
      <w:tr w14:paraId="743C9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dxa"/>
            <w:vMerge w:val="continue"/>
          </w:tcPr>
          <w:p w14:paraId="2CF76CA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1C48B73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3E8F384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16.全时段学习环境：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建立社区学习数字服务平台，优化学分银行，形成学习可移动、积分可兑换、成果可输出的全民终身学习机制。</w:t>
            </w:r>
          </w:p>
        </w:tc>
      </w:tr>
      <w:tr w14:paraId="1410F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126" w:type="dxa"/>
            <w:vMerge w:val="continue"/>
          </w:tcPr>
          <w:p w14:paraId="249DC3C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0EF9188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2BE7F91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17.全渠道拓展师资：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依托在职教师、社区能工巧匠等，形成专兼结合、人人为师的互助共享社区教育新生态；建立社区达人资源库。</w:t>
            </w:r>
          </w:p>
        </w:tc>
      </w:tr>
      <w:tr w14:paraId="230E3C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126" w:type="dxa"/>
            <w:vMerge w:val="restart"/>
            <w:vAlign w:val="center"/>
          </w:tcPr>
          <w:p w14:paraId="62BE0DB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保障性</w:t>
            </w:r>
          </w:p>
          <w:p w14:paraId="238EF4E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指标</w:t>
            </w:r>
          </w:p>
        </w:tc>
        <w:tc>
          <w:tcPr>
            <w:tcW w:w="2319" w:type="dxa"/>
            <w:vMerge w:val="restart"/>
            <w:vAlign w:val="center"/>
          </w:tcPr>
          <w:p w14:paraId="6769627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高效能治理</w:t>
            </w:r>
          </w:p>
        </w:tc>
        <w:tc>
          <w:tcPr>
            <w:tcW w:w="10448" w:type="dxa"/>
          </w:tcPr>
          <w:p w14:paraId="19320DD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18.依法</w:t>
            </w:r>
            <w:r>
              <w:rPr>
                <w:rFonts w:ascii="仿宋_GB2312" w:hAnsi="仿宋_GB2312" w:eastAsia="仿宋_GB2312" w:cs="仿宋_GB2312"/>
                <w:b/>
                <w:bCs/>
                <w:color w:val="auto"/>
                <w:sz w:val="24"/>
              </w:rPr>
              <w:t>治理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：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增强法治思维、提升法治意识、树立法治观念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，完善政府权力清单、责任清单和负面清单。深化“放管服”改革，持续规范“进校园”活动，切实减轻学校、教师的非教学负担，激发学校办学动力活力。促进公、民办教育健康和谐发展，健全校外培训机构协同监管机制。</w:t>
            </w:r>
          </w:p>
        </w:tc>
      </w:tr>
      <w:tr w14:paraId="042B0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126" w:type="dxa"/>
            <w:vMerge w:val="continue"/>
            <w:vAlign w:val="center"/>
          </w:tcPr>
          <w:p w14:paraId="4409A7A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79E6591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04AAD2F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19.科学治理：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深化教育领域数字化改革，提升整体智治水平。探索“成长型”评价体系，改进结果评价、强化过程评价、探索增值评价、健全综合评价。</w:t>
            </w:r>
          </w:p>
        </w:tc>
      </w:tr>
      <w:tr w14:paraId="74222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26" w:type="dxa"/>
            <w:vMerge w:val="continue"/>
            <w:vAlign w:val="center"/>
          </w:tcPr>
          <w:p w14:paraId="396E4D1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319" w:type="dxa"/>
            <w:vMerge w:val="continue"/>
            <w:vAlign w:val="center"/>
          </w:tcPr>
          <w:p w14:paraId="1334568A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448" w:type="dxa"/>
          </w:tcPr>
          <w:p w14:paraId="211603C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20.综合治理：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探索建立多部门协同、公众广泛参与的教育治理机制，优化校园周边网格化综合治理，保障校园周边安全。健全学校家庭社会协同育人机制。</w:t>
            </w:r>
          </w:p>
        </w:tc>
      </w:tr>
      <w:tr w14:paraId="232D6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26" w:type="dxa"/>
            <w:vAlign w:val="center"/>
          </w:tcPr>
          <w:p w14:paraId="4152EBF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约束性</w:t>
            </w:r>
          </w:p>
          <w:p w14:paraId="1B6D41B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指标</w:t>
            </w:r>
          </w:p>
        </w:tc>
        <w:tc>
          <w:tcPr>
            <w:tcW w:w="2319" w:type="dxa"/>
            <w:vAlign w:val="center"/>
          </w:tcPr>
          <w:p w14:paraId="4BF97EA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教育生态指数</w:t>
            </w:r>
          </w:p>
        </w:tc>
        <w:tc>
          <w:tcPr>
            <w:tcW w:w="10448" w:type="dxa"/>
            <w:vAlign w:val="center"/>
          </w:tcPr>
          <w:p w14:paraId="0776A6B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县域基础教育生态监测结果位列全市后三位的；其他重大情况。视情约束，一票否决。</w:t>
            </w:r>
          </w:p>
        </w:tc>
      </w:tr>
    </w:tbl>
    <w:p w14:paraId="33319D77">
      <w:pPr>
        <w:spacing w:line="0" w:lineRule="atLeast"/>
        <w:rPr>
          <w:rFonts w:eastAsia="仿宋_GB2312"/>
          <w:sz w:val="32"/>
        </w:rPr>
      </w:pPr>
    </w:p>
    <w:p w14:paraId="405B33BA">
      <w:pPr>
        <w:spacing w:line="0" w:lineRule="atLeast"/>
        <w:rPr>
          <w:rFonts w:eastAsia="仿宋_GB2312"/>
          <w:sz w:val="32"/>
        </w:rPr>
      </w:pPr>
    </w:p>
    <w:p w14:paraId="171E9942">
      <w:pPr>
        <w:spacing w:line="0" w:lineRule="atLeast"/>
        <w:rPr>
          <w:rFonts w:eastAsia="仿宋_GB2312"/>
          <w:sz w:val="32"/>
        </w:rPr>
      </w:pPr>
    </w:p>
    <w:p w14:paraId="3AB4DE7D">
      <w:pPr>
        <w:spacing w:line="0" w:lineRule="atLeast"/>
        <w:rPr>
          <w:rFonts w:eastAsia="仿宋_GB2312"/>
          <w:sz w:val="32"/>
        </w:rPr>
      </w:pPr>
    </w:p>
    <w:p w14:paraId="7B8F36CB">
      <w:pPr>
        <w:spacing w:line="0" w:lineRule="atLeast"/>
        <w:rPr>
          <w:rFonts w:eastAsia="仿宋_GB2312"/>
          <w:sz w:val="32"/>
        </w:rPr>
      </w:pPr>
    </w:p>
    <w:p w14:paraId="4E1DBB0B">
      <w:pPr>
        <w:spacing w:line="0" w:lineRule="atLeast"/>
        <w:rPr>
          <w:rFonts w:eastAsia="仿宋_GB2312"/>
          <w:sz w:val="32"/>
        </w:rPr>
      </w:pPr>
    </w:p>
    <w:p w14:paraId="6A86993A">
      <w:pPr>
        <w:spacing w:line="0" w:lineRule="atLeast"/>
        <w:rPr>
          <w:rFonts w:eastAsia="仿宋_GB2312"/>
          <w:sz w:val="32"/>
        </w:rPr>
      </w:pPr>
    </w:p>
    <w:p w14:paraId="5CF89A4C">
      <w:pPr>
        <w:spacing w:line="0" w:lineRule="atLeast"/>
        <w:rPr>
          <w:rFonts w:eastAsia="仿宋_GB2312"/>
          <w:sz w:val="32"/>
        </w:rPr>
      </w:pPr>
    </w:p>
    <w:p w14:paraId="4D240104">
      <w:pPr>
        <w:spacing w:line="560" w:lineRule="exact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附件2</w:t>
      </w:r>
    </w:p>
    <w:p w14:paraId="59F3D1E2">
      <w:pPr>
        <w:spacing w:after="280" w:afterLines="50" w:line="560" w:lineRule="exact"/>
        <w:ind w:firstLine="440" w:firstLineChars="100"/>
        <w:jc w:val="both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温州市“未来教育”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项目研究典型案例培育导向性指标体系</w:t>
      </w:r>
    </w:p>
    <w:p w14:paraId="14770140">
      <w:pPr>
        <w:spacing w:after="280" w:afterLines="50" w:line="560" w:lineRule="exact"/>
        <w:ind w:firstLine="880" w:firstLineChars="200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（试行）</w:t>
      </w:r>
    </w:p>
    <w:tbl>
      <w:tblPr>
        <w:tblStyle w:val="6"/>
        <w:tblW w:w="139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3"/>
        <w:gridCol w:w="1662"/>
        <w:gridCol w:w="11253"/>
      </w:tblGrid>
      <w:tr w14:paraId="21CC4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43" w:type="dxa"/>
            <w:vAlign w:val="center"/>
          </w:tcPr>
          <w:p w14:paraId="0567D7A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1662" w:type="dxa"/>
            <w:vAlign w:val="center"/>
          </w:tcPr>
          <w:p w14:paraId="70DFDC3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标志场景</w:t>
            </w:r>
          </w:p>
        </w:tc>
        <w:tc>
          <w:tcPr>
            <w:tcW w:w="11253" w:type="dxa"/>
            <w:vAlign w:val="center"/>
          </w:tcPr>
          <w:p w14:paraId="1231AF4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培育要点与方向</w:t>
            </w:r>
          </w:p>
        </w:tc>
      </w:tr>
      <w:tr w14:paraId="1A5C0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  <w:jc w:val="center"/>
        </w:trPr>
        <w:tc>
          <w:tcPr>
            <w:tcW w:w="1043" w:type="dxa"/>
            <w:vAlign w:val="center"/>
          </w:tcPr>
          <w:p w14:paraId="7C681A6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基础性</w:t>
            </w:r>
          </w:p>
          <w:p w14:paraId="514A3B1F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662" w:type="dxa"/>
            <w:vAlign w:val="center"/>
          </w:tcPr>
          <w:p w14:paraId="2499109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现代化、高品质学校</w:t>
            </w:r>
          </w:p>
        </w:tc>
        <w:tc>
          <w:tcPr>
            <w:tcW w:w="11253" w:type="dxa"/>
          </w:tcPr>
          <w:p w14:paraId="7882C19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创成浙江省现代化学校，或省级“双高”中职学校、或市级学术（特色）高中、义务教育办学水平一级校、乡村“小而优”示范校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未来乡村学校培育对象、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智慧校园2.0校，或全国教改项目试点（基地）校。</w:t>
            </w:r>
          </w:p>
        </w:tc>
      </w:tr>
      <w:tr w14:paraId="684C9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43" w:type="dxa"/>
            <w:vMerge w:val="restart"/>
            <w:vAlign w:val="center"/>
          </w:tcPr>
          <w:p w14:paraId="44AF23B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探索性</w:t>
            </w:r>
          </w:p>
          <w:p w14:paraId="1844A56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662" w:type="dxa"/>
            <w:vMerge w:val="restart"/>
            <w:vAlign w:val="center"/>
          </w:tcPr>
          <w:p w14:paraId="6F3F395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“未来校园”</w:t>
            </w:r>
          </w:p>
          <w:p w14:paraId="3E717F6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数智化空间</w:t>
            </w:r>
          </w:p>
        </w:tc>
        <w:tc>
          <w:tcPr>
            <w:tcW w:w="11253" w:type="dxa"/>
          </w:tcPr>
          <w:p w14:paraId="4BB29A0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1.课改供需度：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适应项目化学习、小班化教学、选课走班、跨学科学习等课改需求，构筑正式学习、非正式学习与混合学习相融合的校园新空间。</w:t>
            </w:r>
          </w:p>
        </w:tc>
      </w:tr>
      <w:tr w14:paraId="70CF5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043" w:type="dxa"/>
            <w:vMerge w:val="continue"/>
            <w:vAlign w:val="center"/>
          </w:tcPr>
          <w:p w14:paraId="1231F9D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57E9F7B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4FA155A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2.五育匹配度：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贯彻五育并举，加强各类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德育、智育、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体育、美育和劳育类专业场室、卫生保健室、心理辅导室、综合实践教室和校内外实践基地、新型学习中心、新型学习空间等建设。</w:t>
            </w:r>
          </w:p>
        </w:tc>
      </w:tr>
      <w:tr w14:paraId="507C9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43" w:type="dxa"/>
            <w:vMerge w:val="continue"/>
            <w:vAlign w:val="center"/>
          </w:tcPr>
          <w:p w14:paraId="01A8D3E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474C143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1F47958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3.场景智能度：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加强绿色、智能和泛在互联的基础设施建设，推进基于大数据的场景应用，提升校园信息化、数字化、智能化水平，构建智学与智治的新场景。</w:t>
            </w:r>
          </w:p>
        </w:tc>
      </w:tr>
      <w:tr w14:paraId="05293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1043" w:type="dxa"/>
            <w:vMerge w:val="continue"/>
            <w:vAlign w:val="center"/>
          </w:tcPr>
          <w:p w14:paraId="69F3131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2701640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6997D9F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4.空间开放度：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加强非教学空间、地下空间等区域开发，促使虚拟空间与实体空间融合，实现学校景观、体育场地、阅读设施等开放共融共享。</w:t>
            </w:r>
          </w:p>
        </w:tc>
      </w:tr>
      <w:tr w14:paraId="23B45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1043" w:type="dxa"/>
            <w:vMerge w:val="continue"/>
            <w:vAlign w:val="center"/>
          </w:tcPr>
          <w:p w14:paraId="5572177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0E9233A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2D858C5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5.文化标识度：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加强文化育人，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建设有文化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浸润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、美学特征的校园，彰显建筑、装饰、景观的文化元素，发挥学校建筑、空间的教育性、艺术性与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价值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引领性。</w:t>
            </w:r>
          </w:p>
        </w:tc>
      </w:tr>
      <w:tr w14:paraId="56902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1043" w:type="dxa"/>
            <w:vMerge w:val="continue"/>
          </w:tcPr>
          <w:p w14:paraId="7BDB0D4A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restart"/>
            <w:vAlign w:val="center"/>
          </w:tcPr>
          <w:p w14:paraId="67A7F36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“未来课程”</w:t>
            </w:r>
          </w:p>
          <w:p w14:paraId="7F0E7E0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校本化实施</w:t>
            </w:r>
          </w:p>
        </w:tc>
        <w:tc>
          <w:tcPr>
            <w:tcW w:w="11253" w:type="dxa"/>
          </w:tcPr>
          <w:p w14:paraId="7F53079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6.内容契合性：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充分体现课程育人，构建指向核心素养的特色课程群，积极打造“为未来而学”的跨学科、综合性、实践性课程。</w:t>
            </w:r>
          </w:p>
        </w:tc>
      </w:tr>
      <w:tr w14:paraId="25D46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043" w:type="dxa"/>
            <w:vMerge w:val="continue"/>
          </w:tcPr>
          <w:p w14:paraId="6A92819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404D114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7293612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7.实施融合性：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坚持五育融合，跨学科有机重组、整合课程，实施走班制、选修制、特需制，推进学生课程表、学涯规划个性化。</w:t>
            </w:r>
          </w:p>
        </w:tc>
      </w:tr>
      <w:tr w14:paraId="1A919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1043" w:type="dxa"/>
            <w:vMerge w:val="continue"/>
          </w:tcPr>
          <w:p w14:paraId="2322F75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38BA0D7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73CD296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8.资源联合性：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充分开发利用在地资源，积极构建面向社会、面向世界的开放型课程，实现校内外课程多维联通、线上线下课程有效对接，建设科学、合适、校本化的网络学习教育平台。</w:t>
            </w:r>
          </w:p>
        </w:tc>
      </w:tr>
      <w:tr w14:paraId="0C71B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043" w:type="dxa"/>
            <w:vMerge w:val="continue"/>
          </w:tcPr>
          <w:p w14:paraId="3DC5850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restart"/>
            <w:vAlign w:val="center"/>
          </w:tcPr>
          <w:p w14:paraId="45A2A77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“未来课堂”</w:t>
            </w:r>
          </w:p>
          <w:p w14:paraId="2A868C5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个性化学习</w:t>
            </w:r>
          </w:p>
        </w:tc>
        <w:tc>
          <w:tcPr>
            <w:tcW w:w="11253" w:type="dxa"/>
          </w:tcPr>
          <w:p w14:paraId="0D65E52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9.课堂范式：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坚持价值引领、育人为本，探索学为中心、素养本位、技术赋能的“未来课堂”，重塑新型师生关系，增强学生自主学习的内驱力。</w:t>
            </w:r>
          </w:p>
        </w:tc>
      </w:tr>
      <w:tr w14:paraId="7DF34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43" w:type="dxa"/>
            <w:vMerge w:val="continue"/>
          </w:tcPr>
          <w:p w14:paraId="6780323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6129C0A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4052499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10.学教方式：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致力于深度学习发生，探索基于数字化、智能化的新型教学方式，基于真实情境、问题解决的项目化学习，基于学科融合的跨界学习，基于泛在资源的无边界学习。对有特殊潜质、兴趣的学生和后20%学生开展扬长性、补偿性教育。</w:t>
            </w:r>
          </w:p>
        </w:tc>
      </w:tr>
      <w:tr w14:paraId="76D4B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043" w:type="dxa"/>
            <w:vMerge w:val="continue"/>
          </w:tcPr>
          <w:p w14:paraId="7F7A262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433F942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4789A52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11.教学评价：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探索教、学、评一致性的“素养评价”，形成包含学科命题、学业诊断反馈、学习评价、课堂评价等的教学评价体系。</w:t>
            </w:r>
          </w:p>
        </w:tc>
      </w:tr>
      <w:tr w14:paraId="4A718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043" w:type="dxa"/>
            <w:vMerge w:val="continue"/>
          </w:tcPr>
          <w:p w14:paraId="1D31CBA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restart"/>
            <w:vAlign w:val="center"/>
          </w:tcPr>
          <w:p w14:paraId="79FC808E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“未来教师（校长）”</w:t>
            </w:r>
          </w:p>
          <w:p w14:paraId="3A100DE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专业化发展</w:t>
            </w:r>
          </w:p>
        </w:tc>
        <w:tc>
          <w:tcPr>
            <w:tcW w:w="11253" w:type="dxa"/>
          </w:tcPr>
          <w:p w14:paraId="05D92A2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12.校长发展：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加强未来教育理念革新，提升学校科学规划与建设能力、面向未来的管理能力、教育新技术掌握应用能力，争做“教育家型”校长、管理与教学“双名”校长。</w:t>
            </w:r>
          </w:p>
        </w:tc>
      </w:tr>
      <w:tr w14:paraId="20197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43" w:type="dxa"/>
            <w:vMerge w:val="continue"/>
          </w:tcPr>
          <w:p w14:paraId="7E3D763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7A6204C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0EA16AF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13.教师发展：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加强师德涵养，学习先进教育理念、学科教学新方式，提高课程研发、学涯规划、跨学科教学、综合创新、新技术与教学有机融合等能力，争做“德才双优型”教师。促进教师角色转型，践行“为未来而教”理念。构建“在研究中成长”“做中学”的项目制校本研训模式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提升校本研训课程质量，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发挥先进教研组的辐射引领作用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，提高教师对未来教育理念、方式的学习力和行动力。</w:t>
            </w:r>
          </w:p>
        </w:tc>
      </w:tr>
      <w:tr w14:paraId="3E235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1043" w:type="dxa"/>
            <w:vMerge w:val="continue"/>
          </w:tcPr>
          <w:p w14:paraId="103C255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562778A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077319D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14.班主任发展：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增强对教育本质内涵的理解，学习掌握智慧的教育方式、科学的思维方式、创新的个性化教育能力，争做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“导师型”班主任，成为学生的心灵导师、学业导师、生涯导师。</w:t>
            </w:r>
          </w:p>
        </w:tc>
      </w:tr>
      <w:tr w14:paraId="51B2F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  <w:jc w:val="center"/>
        </w:trPr>
        <w:tc>
          <w:tcPr>
            <w:tcW w:w="1043" w:type="dxa"/>
            <w:vMerge w:val="continue"/>
          </w:tcPr>
          <w:p w14:paraId="1C6DC5AA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restart"/>
            <w:vAlign w:val="center"/>
          </w:tcPr>
          <w:p w14:paraId="2660EF3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“未来学生”</w:t>
            </w:r>
          </w:p>
          <w:p w14:paraId="1DE802D7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立体化评价</w:t>
            </w:r>
          </w:p>
        </w:tc>
        <w:tc>
          <w:tcPr>
            <w:tcW w:w="11253" w:type="dxa"/>
          </w:tcPr>
          <w:p w14:paraId="057B0AD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15.全面性评价：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聚焦“未来学生”全面发展的核心素养，完善</w:t>
            </w:r>
            <w:r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学生综合素质评价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，健全德智体美劳全面发展的“五好学生”评选机制，扭转唯分数论的片面教育质量观。</w:t>
            </w:r>
          </w:p>
        </w:tc>
      </w:tr>
      <w:tr w14:paraId="2AE3C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043" w:type="dxa"/>
            <w:vMerge w:val="continue"/>
          </w:tcPr>
          <w:p w14:paraId="15EE8FC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268F6B1B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454E863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16.成长性评价：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 xml:space="preserve">尊重学生表现的日常性、学生成长的动态性、学生发展的差异性，对学生学习过程和学习能力、校园生活和行为表现、学业负担和身心健康等实施过程性评价，对学生的智能优势、个性特长等实施多元化评价。基于发展起点，突出发展过程，构建“成长型”学生评价体系。 </w:t>
            </w:r>
          </w:p>
        </w:tc>
      </w:tr>
      <w:tr w14:paraId="1F40C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  <w:jc w:val="center"/>
        </w:trPr>
        <w:tc>
          <w:tcPr>
            <w:tcW w:w="1043" w:type="dxa"/>
            <w:vMerge w:val="continue"/>
          </w:tcPr>
          <w:p w14:paraId="79491BD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0F0A39E1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074CE09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17.综合性评价：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坚持评价主体多元化、方式多样化、内容综合化、技术现代化，进一步提升评价过程的科学性，保证评价结果更为公平有效。</w:t>
            </w:r>
          </w:p>
        </w:tc>
      </w:tr>
      <w:tr w14:paraId="05980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043" w:type="dxa"/>
            <w:vMerge w:val="restart"/>
            <w:vAlign w:val="center"/>
          </w:tcPr>
          <w:p w14:paraId="6A5C208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保障性</w:t>
            </w:r>
          </w:p>
          <w:p w14:paraId="39AD1A5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662" w:type="dxa"/>
            <w:vMerge w:val="restart"/>
            <w:vAlign w:val="center"/>
          </w:tcPr>
          <w:p w14:paraId="4378F655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学校治理现代化</w:t>
            </w:r>
          </w:p>
        </w:tc>
        <w:tc>
          <w:tcPr>
            <w:tcW w:w="11253" w:type="dxa"/>
          </w:tcPr>
          <w:p w14:paraId="42A88C42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18.党建统领：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以“党建+”模式实现与学校中心工作深度融合，强化党建带团、队建，守牢育人阵地。完善党组织领导下的校长负责制；争做党性与业务“双强”书记。</w:t>
            </w:r>
          </w:p>
        </w:tc>
      </w:tr>
      <w:tr w14:paraId="6170F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043" w:type="dxa"/>
            <w:vMerge w:val="continue"/>
            <w:vAlign w:val="center"/>
          </w:tcPr>
          <w:p w14:paraId="0E82A5E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6FD87B78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179D32C0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19.依章治校：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强化学校依法治校的意识和能力，建立系统、完备、科学的学校章程，完善各项规章制度，增强自主管理、自我约束能力，推动学校完善现代学校制度。</w:t>
            </w:r>
          </w:p>
        </w:tc>
      </w:tr>
      <w:tr w14:paraId="19A5E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043" w:type="dxa"/>
            <w:vMerge w:val="continue"/>
            <w:vAlign w:val="center"/>
          </w:tcPr>
          <w:p w14:paraId="455B44F4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vMerge w:val="continue"/>
            <w:vAlign w:val="center"/>
          </w:tcPr>
          <w:p w14:paraId="3DD98A8C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53" w:type="dxa"/>
          </w:tcPr>
          <w:p w14:paraId="69CA22D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20.整体智治：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以数字化改革赋能学校治理现代化，健全学校内部治理结构，构建法治化、民主化、智能化的现代学校治理体系。完善学校与家校、社区“三位一体”的协同育人机制。</w:t>
            </w:r>
          </w:p>
        </w:tc>
      </w:tr>
      <w:tr w14:paraId="704A7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1043" w:type="dxa"/>
            <w:vAlign w:val="center"/>
          </w:tcPr>
          <w:p w14:paraId="768B95C6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  <w:p w14:paraId="261362A9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662" w:type="dxa"/>
            <w:vAlign w:val="center"/>
          </w:tcPr>
          <w:p w14:paraId="3AEEB073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办学生态指数</w:t>
            </w:r>
          </w:p>
        </w:tc>
        <w:tc>
          <w:tcPr>
            <w:tcW w:w="11253" w:type="dxa"/>
          </w:tcPr>
          <w:p w14:paraId="2C73DBFD">
            <w:pPr>
              <w:tabs>
                <w:tab w:val="center" w:pos="4153"/>
                <w:tab w:val="right" w:pos="8306"/>
              </w:tabs>
              <w:snapToGrid w:val="0"/>
              <w:spacing w:line="440" w:lineRule="exact"/>
              <w:rPr>
                <w:rFonts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《全省各级各类学校办学行为负面清单》（浙教办法〔2019〕63号）所列事项；学生体质健康、近视、作业、睡眠等监测指数低；其他重大情况。视情约束，一票否决。</w:t>
            </w:r>
          </w:p>
        </w:tc>
      </w:tr>
    </w:tbl>
    <w:p w14:paraId="6FE39684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27F30BE4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108E7F1E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482F5589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7399561E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6C1488A7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06DC99BE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4CDE620E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42371B9F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3CB54C76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val="en-US" w:eastAsia="zh-CN"/>
        </w:rPr>
      </w:pPr>
    </w:p>
    <w:p w14:paraId="1A9E28EF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黑体" w:eastAsia="仿宋_GB2312" w:cs="黑体"/>
          <w:sz w:val="32"/>
          <w:szCs w:val="32"/>
          <w:highlight w:val="none"/>
          <w:lang w:val="en-US" w:eastAsia="zh-CN"/>
        </w:rPr>
        <w:t>附件3</w:t>
      </w:r>
    </w:p>
    <w:p w14:paraId="78E82338">
      <w:pPr>
        <w:spacing w:before="170" w:line="5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温州市“未来教育”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幼儿园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项目研究典型案例培育导向性指标体系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eastAsia="zh-CN"/>
        </w:rPr>
        <w:t>（试行）</w:t>
      </w:r>
    </w:p>
    <w:p w14:paraId="39A12844">
      <w:pPr>
        <w:spacing w:line="186" w:lineRule="exact"/>
      </w:pPr>
    </w:p>
    <w:tbl>
      <w:tblPr>
        <w:tblStyle w:val="13"/>
        <w:tblW w:w="1332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2"/>
        <w:gridCol w:w="1730"/>
        <w:gridCol w:w="10172"/>
      </w:tblGrid>
      <w:tr w14:paraId="02285E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1422" w:type="dxa"/>
            <w:vAlign w:val="top"/>
          </w:tcPr>
          <w:p w14:paraId="3FD7153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49"/>
              <w:textAlignment w:val="auto"/>
            </w:pPr>
            <w:r>
              <w:rPr>
                <w:spacing w:val="-7"/>
              </w:rPr>
              <w:t>类别</w:t>
            </w:r>
          </w:p>
        </w:tc>
        <w:tc>
          <w:tcPr>
            <w:tcW w:w="1730" w:type="dxa"/>
            <w:vAlign w:val="top"/>
          </w:tcPr>
          <w:p w14:paraId="32B33CF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05"/>
              <w:textAlignment w:val="auto"/>
            </w:pPr>
            <w:r>
              <w:rPr>
                <w:spacing w:val="-2"/>
              </w:rPr>
              <w:t>标志场景</w:t>
            </w:r>
          </w:p>
        </w:tc>
        <w:tc>
          <w:tcPr>
            <w:tcW w:w="10172" w:type="dxa"/>
            <w:vAlign w:val="top"/>
          </w:tcPr>
          <w:p w14:paraId="4AB598A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114"/>
              <w:textAlignment w:val="auto"/>
            </w:pPr>
            <w:r>
              <w:rPr>
                <w:spacing w:val="-2"/>
              </w:rPr>
              <w:t>培育要点与方向</w:t>
            </w:r>
          </w:p>
        </w:tc>
      </w:tr>
      <w:tr w14:paraId="5FC1A1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</w:trPr>
        <w:tc>
          <w:tcPr>
            <w:tcW w:w="1422" w:type="dxa"/>
            <w:vAlign w:val="top"/>
          </w:tcPr>
          <w:p w14:paraId="1F9B1A0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43" w:right="282" w:hanging="147"/>
              <w:textAlignment w:val="auto"/>
            </w:pPr>
            <w:r>
              <w:rPr>
                <w:spacing w:val="-3"/>
              </w:rPr>
              <w:t>基础性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指标</w:t>
            </w:r>
          </w:p>
        </w:tc>
        <w:tc>
          <w:tcPr>
            <w:tcW w:w="1730" w:type="dxa"/>
            <w:vAlign w:val="top"/>
          </w:tcPr>
          <w:p w14:paraId="695EEB2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07" w:right="158" w:hanging="26"/>
              <w:textAlignment w:val="auto"/>
            </w:pPr>
            <w:r>
              <w:rPr>
                <w:spacing w:val="-4"/>
              </w:rPr>
              <w:t>现代化、高</w:t>
            </w:r>
            <w:r>
              <w:t xml:space="preserve"> </w:t>
            </w:r>
            <w:r>
              <w:rPr>
                <w:spacing w:val="-10"/>
              </w:rPr>
              <w:t>品质幼儿园</w:t>
            </w:r>
          </w:p>
        </w:tc>
        <w:tc>
          <w:tcPr>
            <w:tcW w:w="10172" w:type="dxa"/>
            <w:vAlign w:val="top"/>
          </w:tcPr>
          <w:p w14:paraId="5BFFDEC1"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left="30"/>
              <w:textAlignment w:val="auto"/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曾获得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浙江省现代化幼儿园、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温州市“三朵云”智慧幼儿园、温州市“品质校园”等称号。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选一）</w:t>
            </w:r>
          </w:p>
        </w:tc>
      </w:tr>
      <w:tr w14:paraId="010140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5" w:hRule="atLeast"/>
        </w:trPr>
        <w:tc>
          <w:tcPr>
            <w:tcW w:w="1422" w:type="dxa"/>
            <w:vMerge w:val="restart"/>
            <w:vAlign w:val="top"/>
          </w:tcPr>
          <w:p w14:paraId="2F86F32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503" w:right="282" w:hanging="203"/>
              <w:textAlignment w:val="auto"/>
            </w:pPr>
            <w:r>
              <w:rPr>
                <w:spacing w:val="-4"/>
              </w:rPr>
              <w:t>探索性</w:t>
            </w:r>
            <w:r>
              <w:t xml:space="preserve"> </w:t>
            </w:r>
            <w:r>
              <w:rPr>
                <w:spacing w:val="-4"/>
              </w:rPr>
              <w:t>指标</w:t>
            </w:r>
          </w:p>
        </w:tc>
        <w:tc>
          <w:tcPr>
            <w:tcW w:w="1730" w:type="dxa"/>
            <w:vMerge w:val="restart"/>
            <w:tcBorders>
              <w:bottom w:val="nil"/>
            </w:tcBorders>
            <w:vAlign w:val="top"/>
          </w:tcPr>
          <w:p w14:paraId="7E8CC66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19" w:right="153" w:hanging="55"/>
              <w:textAlignment w:val="auto"/>
            </w:pPr>
            <w:r>
              <w:rPr>
                <w:rFonts w:ascii="Times New Roman" w:hAnsi="Times New Roman" w:eastAsia="Times New Roman" w:cs="Times New Roman"/>
                <w:spacing w:val="22"/>
              </w:rPr>
              <w:t>“</w:t>
            </w:r>
            <w:r>
              <w:rPr>
                <w:spacing w:val="22"/>
              </w:rPr>
              <w:t>未来园所</w:t>
            </w:r>
            <w:r>
              <w:rPr>
                <w:rFonts w:ascii="Times New Roman" w:hAnsi="Times New Roman" w:eastAsia="Times New Roman" w:cs="Times New Roman"/>
                <w:spacing w:val="22"/>
              </w:rPr>
              <w:t>”</w:t>
            </w:r>
            <w:r>
              <w:rPr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1"/>
              </w:rPr>
              <w:t>数智化空间</w:t>
            </w:r>
          </w:p>
        </w:tc>
        <w:tc>
          <w:tcPr>
            <w:tcW w:w="10172" w:type="dxa"/>
            <w:vAlign w:val="top"/>
          </w:tcPr>
          <w:p w14:paraId="7814101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8" w:right="92" w:hanging="25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2.五育匹配度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：贯彻五育并举，构筑多场景、多维度、共享式的园所新空间，积极开展适宜幼儿年龄特点与认知发展的自主探究式、游戏体验式、深度浸润式等学习活动，支持幼儿开展多元学习活动，实现五育融合发展。</w:t>
            </w:r>
          </w:p>
        </w:tc>
      </w:tr>
      <w:tr w14:paraId="319C3D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6" w:hRule="atLeast"/>
        </w:trPr>
        <w:tc>
          <w:tcPr>
            <w:tcW w:w="1422" w:type="dxa"/>
            <w:vMerge w:val="continue"/>
            <w:vAlign w:val="top"/>
          </w:tcPr>
          <w:p w14:paraId="443B1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393294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04C595B0">
            <w:pPr>
              <w:pStyle w:val="12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" w:right="3" w:firstLine="0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3.场景智能度：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加强绿色、智能和泛在互联的基础设施建设，创新构建AI玩伴、AI伙伴、AI管家的应用场景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，提升园所信息化、数字化、智能化水平，构建智学与智治的新场景。</w:t>
            </w:r>
          </w:p>
        </w:tc>
      </w:tr>
      <w:tr w14:paraId="20CC45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422" w:type="dxa"/>
            <w:vMerge w:val="continue"/>
            <w:vAlign w:val="top"/>
          </w:tcPr>
          <w:p w14:paraId="37BA3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19EFB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36575EF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0" w:right="80" w:hanging="9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4.空间开放度：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强化全息空间开发，注重平面空间与立体空间相结合，促使虚拟空间与实体空间相融合，注重园内与园外场地设施的开放共享。</w:t>
            </w:r>
          </w:p>
        </w:tc>
      </w:tr>
      <w:tr w14:paraId="5FCED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1422" w:type="dxa"/>
            <w:vMerge w:val="continue"/>
            <w:vAlign w:val="top"/>
          </w:tcPr>
          <w:p w14:paraId="36C58B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</w:tcBorders>
            <w:vAlign w:val="top"/>
          </w:tcPr>
          <w:p w14:paraId="66D86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33AF15F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4" w:right="80" w:hanging="14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5.文化标识度：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加强文化育人，建设有温润文化、美学特征的幼儿园，彰显建筑、景观、装饰的雅与趣，发挥园所建筑、环境空间的教育性、艺术性与价值引领性。</w:t>
            </w:r>
          </w:p>
        </w:tc>
      </w:tr>
      <w:tr w14:paraId="76836A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1422" w:type="dxa"/>
            <w:vMerge w:val="continue"/>
            <w:vAlign w:val="top"/>
          </w:tcPr>
          <w:p w14:paraId="195631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restart"/>
            <w:tcBorders>
              <w:bottom w:val="nil"/>
            </w:tcBorders>
            <w:vAlign w:val="top"/>
          </w:tcPr>
          <w:p w14:paraId="718CC9D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93" w:right="116" w:hanging="74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503FD78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93" w:right="116" w:hanging="74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1FA9B0C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93" w:right="116" w:hanging="74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15A4C53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93" w:right="116" w:hanging="74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266EABB9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93" w:right="116" w:hanging="74"/>
              <w:textAlignment w:val="auto"/>
            </w:pPr>
            <w:r>
              <w:rPr>
                <w:rFonts w:ascii="Times New Roman" w:hAnsi="Times New Roman" w:eastAsia="Times New Roman" w:cs="Times New Roman"/>
                <w:spacing w:val="19"/>
              </w:rPr>
              <w:t>“</w:t>
            </w:r>
            <w:r>
              <w:rPr>
                <w:spacing w:val="19"/>
              </w:rPr>
              <w:t>未来课程</w:t>
            </w:r>
            <w:r>
              <w:rPr>
                <w:rFonts w:ascii="Times New Roman" w:hAnsi="Times New Roman" w:eastAsia="Times New Roman" w:cs="Times New Roman"/>
                <w:spacing w:val="19"/>
              </w:rPr>
              <w:t>”</w:t>
            </w:r>
            <w:r>
              <w:rPr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6"/>
              </w:rPr>
              <w:t>园本化实施</w:t>
            </w:r>
          </w:p>
        </w:tc>
        <w:tc>
          <w:tcPr>
            <w:tcW w:w="10172" w:type="dxa"/>
            <w:vAlign w:val="top"/>
          </w:tcPr>
          <w:p w14:paraId="55AD6D0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9" w:hanging="1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6.课程设计：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坚持以儿童为中心，遵循“看见爱与自由，看见生长的力量”课改理念， 确立园本课程顶层架构，逐步形成着眼未来、放眼世界、扎根本土的发展性园本课程。</w:t>
            </w:r>
          </w:p>
        </w:tc>
      </w:tr>
      <w:tr w14:paraId="110800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5" w:hRule="atLeast"/>
        </w:trPr>
        <w:tc>
          <w:tcPr>
            <w:tcW w:w="1422" w:type="dxa"/>
            <w:vMerge w:val="continue"/>
            <w:vAlign w:val="top"/>
          </w:tcPr>
          <w:p w14:paraId="143E4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0FECC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2C9F4079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2" w:firstLine="2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7.课程实施：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秉持生活化、游戏化核心理念，科学统筹并盘活多元课程资源，深化信息技术与课程教学的深度融合，高效落实课程方案；以游戏精神创设开放探究场景，支持幼儿通过直接感知、实际操作、亲身体验积累经验，实现全面发展；教师则以平等合作者与对话者的身份，成为幼儿的情感共鸣者、经验共享者与个性成长支持者。</w:t>
            </w:r>
          </w:p>
        </w:tc>
      </w:tr>
      <w:tr w14:paraId="2557C2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atLeast"/>
        </w:trPr>
        <w:tc>
          <w:tcPr>
            <w:tcW w:w="1422" w:type="dxa"/>
            <w:vMerge w:val="continue"/>
            <w:vAlign w:val="top"/>
          </w:tcPr>
          <w:p w14:paraId="74C90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69A85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568BBDE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3" w:hanging="4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8.课程保障：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建立健全以科研为引领、以园本研训为主力的专业支持体系，优化与创新课程管理制度，完善课程开发、审议、实施、评价、监控、奖励等一系列保障机制，确保园本化课程长效而富有生命力地开展。</w:t>
            </w:r>
          </w:p>
        </w:tc>
      </w:tr>
      <w:tr w14:paraId="25F70B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1422" w:type="dxa"/>
            <w:vMerge w:val="continue"/>
            <w:vAlign w:val="top"/>
          </w:tcPr>
          <w:p w14:paraId="79E9B3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restart"/>
            <w:tcBorders>
              <w:bottom w:val="nil"/>
            </w:tcBorders>
            <w:vAlign w:val="top"/>
          </w:tcPr>
          <w:p w14:paraId="07C6467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25" w:right="166" w:hanging="56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0A48F34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25" w:right="166" w:hanging="56"/>
              <w:textAlignment w:val="auto"/>
              <w:rPr>
                <w:rFonts w:ascii="Times New Roman" w:hAnsi="Times New Roman" w:eastAsia="Times New Roman" w:cs="Times New Roman"/>
                <w:spacing w:val="19"/>
              </w:rPr>
            </w:pPr>
          </w:p>
          <w:p w14:paraId="44E3690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25" w:right="166" w:hanging="56"/>
              <w:textAlignment w:val="auto"/>
            </w:pPr>
            <w:r>
              <w:rPr>
                <w:rFonts w:ascii="Times New Roman" w:hAnsi="Times New Roman" w:eastAsia="Times New Roman" w:cs="Times New Roman"/>
                <w:spacing w:val="19"/>
              </w:rPr>
              <w:t>“</w:t>
            </w:r>
            <w:r>
              <w:rPr>
                <w:spacing w:val="19"/>
              </w:rPr>
              <w:t>未来教师</w:t>
            </w:r>
            <w:r>
              <w:rPr>
                <w:rFonts w:ascii="Times New Roman" w:hAnsi="Times New Roman" w:eastAsia="Times New Roman" w:cs="Times New Roman"/>
                <w:spacing w:val="19"/>
              </w:rPr>
              <w:t>”</w:t>
            </w:r>
            <w:r>
              <w:rPr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4"/>
              </w:rPr>
              <w:t>专业化发展</w:t>
            </w:r>
          </w:p>
        </w:tc>
        <w:tc>
          <w:tcPr>
            <w:tcW w:w="10172" w:type="dxa"/>
            <w:vAlign w:val="top"/>
          </w:tcPr>
          <w:p w14:paraId="1C18F1E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4" w:firstLine="6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9.园长发展：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加强未来教育理念革新，提升幼儿园发展规划与实施能力、面向未来的管理能力、课程领导力、教育新技术掌握应用能力，争做“教育家型”园长，管理与教学“双名”园长。</w:t>
            </w:r>
          </w:p>
        </w:tc>
      </w:tr>
      <w:tr w14:paraId="4C2CD4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8" w:hRule="atLeast"/>
        </w:trPr>
        <w:tc>
          <w:tcPr>
            <w:tcW w:w="1422" w:type="dxa"/>
            <w:vMerge w:val="continue"/>
            <w:vAlign w:val="top"/>
          </w:tcPr>
          <w:p w14:paraId="25C6C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1324A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0CA4417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2" w:firstLine="18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10.教师发展：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加强师德涵养，学习先进教育理念、利用AI技术创新教育教学实践、优化教学组织方式、实现减负增效，争做“德才双优型”教师。践行“为未来而教”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理念，促进角色转型。结合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自身发展需求，制定专业发展规划，提高对未来教育理念、方式的学习力和行动力。</w:t>
            </w:r>
          </w:p>
        </w:tc>
      </w:tr>
      <w:tr w14:paraId="091DEA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1" w:hRule="atLeast"/>
        </w:trPr>
        <w:tc>
          <w:tcPr>
            <w:tcW w:w="1422" w:type="dxa"/>
            <w:vMerge w:val="continue"/>
            <w:vAlign w:val="top"/>
          </w:tcPr>
          <w:p w14:paraId="542ADB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</w:tcBorders>
            <w:vAlign w:val="top"/>
          </w:tcPr>
          <w:p w14:paraId="25DFD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42999B2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5" w:firstLine="15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11.保育保健人员发展：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坚持儿童优先的原则，运用信息技术，创造性开展保育保健工作，争做“专业型”“教育型”保育保健人员。</w:t>
            </w:r>
          </w:p>
        </w:tc>
      </w:tr>
      <w:tr w14:paraId="795AB5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1422" w:type="dxa"/>
            <w:vMerge w:val="continue"/>
            <w:vAlign w:val="top"/>
          </w:tcPr>
          <w:p w14:paraId="468B7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restart"/>
            <w:tcBorders>
              <w:bottom w:val="nil"/>
            </w:tcBorders>
            <w:vAlign w:val="top"/>
          </w:tcPr>
          <w:p w14:paraId="0A0018E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27" w:right="162" w:hanging="228"/>
              <w:textAlignment w:val="auto"/>
            </w:pPr>
            <w:r>
              <w:rPr>
                <w:rFonts w:ascii="Times New Roman" w:hAnsi="Times New Roman" w:eastAsia="Times New Roman" w:cs="Times New Roman"/>
                <w:spacing w:val="10"/>
              </w:rPr>
              <w:t>“</w:t>
            </w:r>
            <w:r>
              <w:rPr>
                <w:spacing w:val="10"/>
              </w:rPr>
              <w:t>未来幼儿</w:t>
            </w:r>
            <w:r>
              <w:rPr>
                <w:rFonts w:ascii="Times New Roman" w:hAnsi="Times New Roman" w:eastAsia="Times New Roman" w:cs="Times New Roman"/>
                <w:spacing w:val="10"/>
              </w:rPr>
              <w:t>”</w:t>
            </w:r>
            <w:r>
              <w:rPr>
                <w:rFonts w:ascii="Times New Roman" w:hAnsi="Times New Roman" w:eastAsia="Times New Roman" w:cs="Times New Roman"/>
                <w:spacing w:val="1"/>
              </w:rPr>
              <w:t xml:space="preserve">   </w:t>
            </w:r>
            <w:r>
              <w:rPr>
                <w:spacing w:val="-15"/>
              </w:rPr>
              <w:t>立体化评价</w:t>
            </w:r>
          </w:p>
        </w:tc>
        <w:tc>
          <w:tcPr>
            <w:tcW w:w="10172" w:type="dxa"/>
            <w:vAlign w:val="top"/>
          </w:tcPr>
          <w:p w14:paraId="7F202CC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8" w:right="90" w:firstLine="21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12.评价理念：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聚焦“未来幼儿”全面发展的核心素养，关注、照顾、支持每一个幼儿，构建“成长型”幼儿评价体系，发挥具有导向性与引领性的评价功能。</w:t>
            </w:r>
          </w:p>
        </w:tc>
      </w:tr>
      <w:tr w14:paraId="331C2B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1422" w:type="dxa"/>
            <w:vMerge w:val="continue"/>
            <w:vAlign w:val="top"/>
          </w:tcPr>
          <w:p w14:paraId="28DDF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63A72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5FBBC39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8" w:right="3" w:firstLine="12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13.评价方式：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尊重幼儿表现的日常性、成长的动态性、发展的差异性，对幼儿的学习与生活实施过程性、支持性评价，坚持评价主体多元化、方式多样化、技术现代化。</w:t>
            </w:r>
          </w:p>
        </w:tc>
      </w:tr>
      <w:tr w14:paraId="3BD69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1422" w:type="dxa"/>
            <w:vMerge w:val="continue"/>
            <w:vAlign w:val="top"/>
          </w:tcPr>
          <w:p w14:paraId="58C1FF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</w:tcBorders>
            <w:vAlign w:val="top"/>
          </w:tcPr>
          <w:p w14:paraId="353BBF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013DFE7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7" w:right="91" w:hanging="7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14.评价效能：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有效运用评价结果，改进与完善教师的保教行为，支持幼儿全面而富有个性地发展。</w:t>
            </w:r>
          </w:p>
        </w:tc>
      </w:tr>
      <w:tr w14:paraId="33B77A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2" w:hRule="atLeast"/>
        </w:trPr>
        <w:tc>
          <w:tcPr>
            <w:tcW w:w="1422" w:type="dxa"/>
            <w:vMerge w:val="restart"/>
            <w:tcBorders>
              <w:bottom w:val="nil"/>
            </w:tcBorders>
            <w:vAlign w:val="top"/>
          </w:tcPr>
          <w:p w14:paraId="35B4C21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63" w:right="362" w:hanging="146"/>
              <w:textAlignment w:val="auto"/>
              <w:rPr>
                <w:spacing w:val="-3"/>
              </w:rPr>
            </w:pPr>
          </w:p>
          <w:p w14:paraId="5BB4382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63" w:right="362" w:hanging="146"/>
              <w:textAlignment w:val="auto"/>
              <w:rPr>
                <w:spacing w:val="-3"/>
              </w:rPr>
            </w:pPr>
          </w:p>
          <w:p w14:paraId="0291660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63" w:right="362" w:hanging="146"/>
              <w:textAlignment w:val="auto"/>
            </w:pPr>
            <w:r>
              <w:rPr>
                <w:spacing w:val="-3"/>
              </w:rPr>
              <w:t>保障性</w:t>
            </w:r>
            <w:r>
              <w:t xml:space="preserve"> </w:t>
            </w:r>
            <w:r>
              <w:rPr>
                <w:spacing w:val="-4"/>
              </w:rPr>
              <w:t>指标</w:t>
            </w:r>
          </w:p>
        </w:tc>
        <w:tc>
          <w:tcPr>
            <w:tcW w:w="1730" w:type="dxa"/>
            <w:vMerge w:val="restart"/>
            <w:tcBorders>
              <w:bottom w:val="nil"/>
            </w:tcBorders>
            <w:vAlign w:val="top"/>
          </w:tcPr>
          <w:p w14:paraId="7453856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05" w:right="212" w:hanging="276"/>
              <w:textAlignment w:val="auto"/>
              <w:rPr>
                <w:spacing w:val="-5"/>
              </w:rPr>
            </w:pPr>
          </w:p>
          <w:p w14:paraId="7385534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05" w:right="212" w:hanging="276"/>
              <w:textAlignment w:val="auto"/>
              <w:rPr>
                <w:spacing w:val="-5"/>
              </w:rPr>
            </w:pPr>
          </w:p>
          <w:p w14:paraId="6C0D57A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05" w:right="212" w:hanging="276"/>
              <w:textAlignment w:val="auto"/>
            </w:pPr>
            <w:r>
              <w:rPr>
                <w:spacing w:val="-5"/>
              </w:rPr>
              <w:t>幼儿园治理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</w:rPr>
              <w:t>现代化</w:t>
            </w:r>
          </w:p>
        </w:tc>
        <w:tc>
          <w:tcPr>
            <w:tcW w:w="10172" w:type="dxa"/>
            <w:vAlign w:val="top"/>
          </w:tcPr>
          <w:p w14:paraId="1494152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4" w:right="87" w:firstLine="26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15.党建统领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：以“党建+”模式实现与幼儿园中心工作深度融合，强化党建带团建、群建，守牢育人阵地。完善党组织领导下的园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长负责制；争做党性与业务“双强”书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记。</w:t>
            </w:r>
          </w:p>
        </w:tc>
      </w:tr>
      <w:tr w14:paraId="0E6A7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3" w:hRule="atLeast"/>
        </w:trPr>
        <w:tc>
          <w:tcPr>
            <w:tcW w:w="1422" w:type="dxa"/>
            <w:vMerge w:val="continue"/>
            <w:tcBorders>
              <w:top w:val="nil"/>
              <w:bottom w:val="nil"/>
            </w:tcBorders>
            <w:vAlign w:val="top"/>
          </w:tcPr>
          <w:p w14:paraId="5D0ED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vAlign w:val="top"/>
          </w:tcPr>
          <w:p w14:paraId="43C8D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515E920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24" w:firstLine="6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16.依章治园：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强化幼儿园依法治校的意识和能力，建立系统、完备、科学的幼儿园章程，完善各项规章制度，增强自主管理，自我约束能力，推动幼儿园完善现代化建设制度。</w:t>
            </w:r>
          </w:p>
        </w:tc>
      </w:tr>
      <w:tr w14:paraId="01E5E8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6" w:hRule="atLeast"/>
        </w:trPr>
        <w:tc>
          <w:tcPr>
            <w:tcW w:w="1422" w:type="dxa"/>
            <w:vMerge w:val="continue"/>
            <w:tcBorders>
              <w:top w:val="nil"/>
            </w:tcBorders>
            <w:vAlign w:val="top"/>
          </w:tcPr>
          <w:p w14:paraId="03627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730" w:type="dxa"/>
            <w:vMerge w:val="continue"/>
            <w:tcBorders>
              <w:top w:val="nil"/>
            </w:tcBorders>
            <w:vAlign w:val="top"/>
          </w:tcPr>
          <w:p w14:paraId="43D4B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172" w:type="dxa"/>
            <w:vAlign w:val="top"/>
          </w:tcPr>
          <w:p w14:paraId="7798253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18" w:right="19" w:firstLine="12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17.整体智治：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以数字化改革赋能幼儿园治理现代化，健全幼儿园内部治理结构，构建法治化、民主化、智能化的现代幼儿园治理体系。完善幼儿园与家庭、社区“三位一体”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的协同育人机制。</w:t>
            </w:r>
          </w:p>
        </w:tc>
      </w:tr>
      <w:tr w14:paraId="50B5E3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422" w:type="dxa"/>
            <w:vAlign w:val="top"/>
          </w:tcPr>
          <w:p w14:paraId="1D890DC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362" w:right="362" w:hanging="127"/>
              <w:textAlignment w:val="auto"/>
            </w:pPr>
            <w:r>
              <w:rPr>
                <w:spacing w:val="-9"/>
              </w:rPr>
              <w:t>约束性</w:t>
            </w:r>
            <w:r>
              <w:t xml:space="preserve"> </w:t>
            </w:r>
            <w:r>
              <w:rPr>
                <w:spacing w:val="-4"/>
              </w:rPr>
              <w:t>指标</w:t>
            </w:r>
          </w:p>
        </w:tc>
        <w:tc>
          <w:tcPr>
            <w:tcW w:w="1730" w:type="dxa"/>
            <w:vAlign w:val="top"/>
          </w:tcPr>
          <w:p w14:paraId="282C925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590" w:right="302" w:hanging="271"/>
              <w:textAlignment w:val="auto"/>
            </w:pPr>
            <w:r>
              <w:rPr>
                <w:spacing w:val="-6"/>
              </w:rPr>
              <w:t>办园生态</w:t>
            </w:r>
            <w:r>
              <w:t xml:space="preserve"> </w:t>
            </w:r>
            <w:r>
              <w:rPr>
                <w:spacing w:val="-4"/>
              </w:rPr>
              <w:t>指数</w:t>
            </w:r>
          </w:p>
        </w:tc>
        <w:tc>
          <w:tcPr>
            <w:tcW w:w="10172" w:type="dxa"/>
            <w:vAlign w:val="top"/>
          </w:tcPr>
          <w:p w14:paraId="0E61DE1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8" w:right="61" w:hanging="5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0"/>
                <w:sz w:val="24"/>
                <w:szCs w:val="24"/>
                <w:lang w:val="zh-CN" w:eastAsia="zh-CN"/>
                <w14:textFill>
                  <w14:solidFill>
                    <w14:schemeClr w14:val="tx1"/>
                  </w14:solidFill>
                </w14:textFill>
              </w:rPr>
              <w:t>18.《全省各级各类学校办学行为负面清单》（浙教办法〔2019〕63 号）所列事项；其他重大情况。视情约束，一票否决。</w:t>
            </w:r>
          </w:p>
        </w:tc>
      </w:tr>
    </w:tbl>
    <w:p w14:paraId="1CA1E379">
      <w:pPr>
        <w:spacing w:line="0" w:lineRule="atLeast"/>
        <w:rPr>
          <w:rFonts w:eastAsia="仿宋_GB2312"/>
          <w:sz w:val="32"/>
        </w:rPr>
        <w:sectPr>
          <w:footerReference r:id="rId3" w:type="default"/>
          <w:pgSz w:w="16840" w:h="11907" w:orient="landscape"/>
          <w:pgMar w:top="1587" w:right="2098" w:bottom="1474" w:left="1985" w:header="2098" w:footer="1814" w:gutter="0"/>
          <w:cols w:space="720" w:num="1"/>
          <w:docGrid w:type="lines" w:linePitch="560" w:charSpace="0"/>
        </w:sectPr>
      </w:pPr>
    </w:p>
    <w:p w14:paraId="0D4841E0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eastAsia="zh-CN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>4</w:t>
      </w:r>
    </w:p>
    <w:p w14:paraId="250A3B98">
      <w:pPr>
        <w:pStyle w:val="5"/>
        <w:spacing w:beforeAutospacing="0" w:afterAutospacing="0"/>
        <w:jc w:val="center"/>
        <w:rPr>
          <w:rStyle w:val="9"/>
          <w:rFonts w:ascii="方正小标宋简体" w:hAnsi="方正小标宋简体" w:eastAsia="方正小标宋简体" w:cs="方正小标宋简体"/>
          <w:b w:val="0"/>
          <w:sz w:val="40"/>
          <w:szCs w:val="40"/>
          <w:highlight w:val="none"/>
        </w:rPr>
      </w:pP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  <w:lang w:val="en-US" w:eastAsia="zh-CN"/>
        </w:rPr>
        <w:t xml:space="preserve">  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</w:rPr>
        <w:t>温州市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  <w:lang w:val="en-US" w:eastAsia="zh-CN"/>
        </w:rPr>
        <w:t>第三批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</w:rPr>
        <w:t>“未来教育”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  <w:lang w:val="en-US" w:eastAsia="zh-CN"/>
        </w:rPr>
        <w:t>项目研究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sz w:val="40"/>
          <w:szCs w:val="40"/>
          <w:highlight w:val="none"/>
        </w:rPr>
        <w:t>申请表</w:t>
      </w:r>
    </w:p>
    <w:tbl>
      <w:tblPr>
        <w:tblStyle w:val="6"/>
        <w:tblpPr w:leftFromText="180" w:rightFromText="180" w:vertAnchor="text" w:horzAnchor="margin" w:tblpY="131"/>
        <w:tblOverlap w:val="never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6"/>
        <w:gridCol w:w="3283"/>
        <w:gridCol w:w="1745"/>
        <w:gridCol w:w="2455"/>
      </w:tblGrid>
      <w:tr w14:paraId="06EC7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556" w:type="dxa"/>
            <w:vAlign w:val="center"/>
          </w:tcPr>
          <w:p w14:paraId="16E0A870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项目名称</w:t>
            </w:r>
          </w:p>
        </w:tc>
        <w:tc>
          <w:tcPr>
            <w:tcW w:w="7483" w:type="dxa"/>
            <w:gridSpan w:val="3"/>
          </w:tcPr>
          <w:p w14:paraId="52C2A4EF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6478C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  <w:vAlign w:val="center"/>
          </w:tcPr>
          <w:p w14:paraId="5B6D6D9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类    别</w:t>
            </w:r>
          </w:p>
        </w:tc>
        <w:tc>
          <w:tcPr>
            <w:tcW w:w="7483" w:type="dxa"/>
            <w:gridSpan w:val="3"/>
          </w:tcPr>
          <w:p w14:paraId="39BE208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 xml:space="preserve">综合改革实验区培育  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sym w:font="Wingdings" w:char="00A8"/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 xml:space="preserve">   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  <w:lang w:val="en-US" w:eastAsia="zh-CN"/>
              </w:rPr>
              <w:t>典型案例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 xml:space="preserve">培育  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sym w:font="Wingdings" w:char="00A8"/>
            </w:r>
          </w:p>
        </w:tc>
      </w:tr>
      <w:tr w14:paraId="4F31B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</w:tcPr>
          <w:p w14:paraId="1BF8937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2"/>
                <w:szCs w:val="30"/>
              </w:rPr>
              <w:t>申报单位</w:t>
            </w:r>
          </w:p>
        </w:tc>
        <w:tc>
          <w:tcPr>
            <w:tcW w:w="3283" w:type="dxa"/>
          </w:tcPr>
          <w:p w14:paraId="243BDDD2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  <w:tc>
          <w:tcPr>
            <w:tcW w:w="1745" w:type="dxa"/>
          </w:tcPr>
          <w:p w14:paraId="5545EA7C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主要负责人</w:t>
            </w:r>
          </w:p>
        </w:tc>
        <w:tc>
          <w:tcPr>
            <w:tcW w:w="2455" w:type="dxa"/>
          </w:tcPr>
          <w:p w14:paraId="727BD2A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17995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</w:tcPr>
          <w:p w14:paraId="0F9381CA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2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2"/>
                <w:szCs w:val="30"/>
              </w:rPr>
              <w:t>联系人</w:t>
            </w:r>
          </w:p>
        </w:tc>
        <w:tc>
          <w:tcPr>
            <w:tcW w:w="3283" w:type="dxa"/>
          </w:tcPr>
          <w:p w14:paraId="5C6DCA0E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  <w:tc>
          <w:tcPr>
            <w:tcW w:w="1745" w:type="dxa"/>
          </w:tcPr>
          <w:p w14:paraId="1B250D8B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联系方式</w:t>
            </w:r>
          </w:p>
        </w:tc>
        <w:tc>
          <w:tcPr>
            <w:tcW w:w="2455" w:type="dxa"/>
          </w:tcPr>
          <w:p w14:paraId="63201ABA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10DCA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1556" w:type="dxa"/>
            <w:vAlign w:val="center"/>
          </w:tcPr>
          <w:p w14:paraId="4F17D1F1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基本</w:t>
            </w:r>
          </w:p>
          <w:p w14:paraId="1772BCEF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情况</w:t>
            </w:r>
          </w:p>
        </w:tc>
        <w:tc>
          <w:tcPr>
            <w:tcW w:w="7483" w:type="dxa"/>
            <w:gridSpan w:val="3"/>
          </w:tcPr>
          <w:p w14:paraId="761CB17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（县域填写教育概况；学校填写办学规模、校长、师资情况、近五年市级以上主要荣誉等，2</w:t>
            </w: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00字左右。）</w:t>
            </w:r>
          </w:p>
        </w:tc>
      </w:tr>
      <w:tr w14:paraId="6F9A5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6" w:hRule="atLeast"/>
        </w:trPr>
        <w:tc>
          <w:tcPr>
            <w:tcW w:w="1556" w:type="dxa"/>
            <w:vAlign w:val="center"/>
          </w:tcPr>
          <w:p w14:paraId="2CA1EA43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项目</w:t>
            </w:r>
          </w:p>
          <w:p w14:paraId="6D7A587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基础</w:t>
            </w:r>
          </w:p>
        </w:tc>
        <w:tc>
          <w:tcPr>
            <w:tcW w:w="7483" w:type="dxa"/>
            <w:gridSpan w:val="3"/>
          </w:tcPr>
          <w:p w14:paraId="6D09671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（简述</w:t>
            </w: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项目现有优势基础，300左右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）</w:t>
            </w:r>
          </w:p>
          <w:p w14:paraId="78277575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55F2B9D2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1EB02F8B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019D0C33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4410E17D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391A9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0" w:hRule="atLeast"/>
        </w:trPr>
        <w:tc>
          <w:tcPr>
            <w:tcW w:w="1556" w:type="dxa"/>
            <w:vAlign w:val="center"/>
          </w:tcPr>
          <w:p w14:paraId="49198DE8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方案</w:t>
            </w:r>
          </w:p>
          <w:p w14:paraId="0744721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摘要</w:t>
            </w:r>
          </w:p>
        </w:tc>
        <w:tc>
          <w:tcPr>
            <w:tcW w:w="7483" w:type="dxa"/>
            <w:gridSpan w:val="3"/>
          </w:tcPr>
          <w:p w14:paraId="24950B8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/>
                <w:bCs/>
                <w:sz w:val="30"/>
                <w:szCs w:val="30"/>
              </w:rPr>
              <w:t>（概述主要目标、任务、路径、经费预算等，500字左右。另外附完整的培育建设方案，3000字左右）</w:t>
            </w:r>
          </w:p>
          <w:p w14:paraId="58F2BAE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</w:p>
          <w:p w14:paraId="0ABE82DF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</w:p>
          <w:p w14:paraId="765100C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</w:p>
          <w:p w14:paraId="22B2F7B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</w:p>
          <w:p w14:paraId="6C6FD28C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/>
                <w:bCs/>
                <w:sz w:val="30"/>
                <w:szCs w:val="30"/>
              </w:rPr>
            </w:pPr>
          </w:p>
        </w:tc>
      </w:tr>
    </w:tbl>
    <w:p w14:paraId="06442D41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6"/>
        <w:tblW w:w="87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1"/>
        <w:gridCol w:w="7021"/>
      </w:tblGrid>
      <w:tr w14:paraId="3BA3C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3" w:hRule="atLeast"/>
        </w:trPr>
        <w:tc>
          <w:tcPr>
            <w:tcW w:w="1711" w:type="dxa"/>
            <w:vAlign w:val="center"/>
          </w:tcPr>
          <w:p w14:paraId="542316F3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申报单位</w:t>
            </w:r>
          </w:p>
          <w:p w14:paraId="5BB2E021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意见</w:t>
            </w:r>
          </w:p>
        </w:tc>
        <w:tc>
          <w:tcPr>
            <w:tcW w:w="7021" w:type="dxa"/>
          </w:tcPr>
          <w:p w14:paraId="361612ED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73092DD1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5B98DF2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6943F42C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5D75ADE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7887B9A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3A6D1F2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负责人签字：               年   月   日</w:t>
            </w:r>
          </w:p>
          <w:p w14:paraId="78C4A6CF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 xml:space="preserve">（单位公章）  </w:t>
            </w:r>
          </w:p>
          <w:p w14:paraId="3AF26A05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3EABE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</w:trPr>
        <w:tc>
          <w:tcPr>
            <w:tcW w:w="1711" w:type="dxa"/>
            <w:vAlign w:val="center"/>
          </w:tcPr>
          <w:p w14:paraId="139D4FCC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县级教研部门推荐意见</w:t>
            </w:r>
          </w:p>
          <w:p w14:paraId="28C30C1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（综合改革实验区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  <w:lang w:val="en-US" w:eastAsia="zh-CN"/>
              </w:rPr>
              <w:t>域</w:t>
            </w: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不用填写）</w:t>
            </w:r>
          </w:p>
        </w:tc>
        <w:tc>
          <w:tcPr>
            <w:tcW w:w="7021" w:type="dxa"/>
          </w:tcPr>
          <w:p w14:paraId="4A1B8653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7E57453D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709802A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00D2083C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6C5F2D21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7D7A208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0999225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单位公章                  年    月   日</w:t>
            </w:r>
          </w:p>
          <w:p w14:paraId="0DC92B34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  <w:tr w14:paraId="566DE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2" w:hRule="atLeast"/>
        </w:trPr>
        <w:tc>
          <w:tcPr>
            <w:tcW w:w="1711" w:type="dxa"/>
            <w:vAlign w:val="center"/>
          </w:tcPr>
          <w:p w14:paraId="0BB39395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市教研院意见</w:t>
            </w:r>
          </w:p>
        </w:tc>
        <w:tc>
          <w:tcPr>
            <w:tcW w:w="7021" w:type="dxa"/>
          </w:tcPr>
          <w:p w14:paraId="17AAAB67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5D62B316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369ABC89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4F614D7E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</w:p>
          <w:p w14:paraId="30D1349B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  <w:p w14:paraId="2BF4DBA5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  <w:t>专家组长签字：            年    月   日</w:t>
            </w:r>
          </w:p>
          <w:p w14:paraId="74ECD75F">
            <w:pPr>
              <w:pStyle w:val="5"/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sz w:val="30"/>
                <w:szCs w:val="30"/>
              </w:rPr>
            </w:pPr>
          </w:p>
        </w:tc>
      </w:tr>
    </w:tbl>
    <w:p w14:paraId="7D5007B5">
      <w:pP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</w:p>
    <w:p w14:paraId="2BF105BC">
      <w:pPr>
        <w:jc w:val="center"/>
        <w:rPr>
          <w:rFonts w:ascii="方正小标宋简体" w:hAnsi="方正小标宋简体" w:eastAsia="方正小标宋简体" w:cs="方正小标宋简体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温州市第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  <w:lang w:val="en-US"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批“未来教育”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  <w:lang w:val="en-US" w:eastAsia="zh-CN"/>
        </w:rPr>
        <w:t>项目研究汇总表</w:t>
      </w:r>
    </w:p>
    <w:p w14:paraId="15E661FA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 w14:paraId="3F25254B">
      <w:pPr>
        <w:adjustRightInd w:val="0"/>
        <w:snapToGrid w:val="0"/>
        <w:spacing w:line="360" w:lineRule="auto"/>
        <w:rPr>
          <w:rFonts w:ascii="方正小标宋简体" w:hAnsi="方正小标宋简体" w:eastAsia="方正小标宋简体" w:cs="方正小标宋简体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</w:t>
      </w:r>
      <w:r>
        <w:rPr>
          <w:rFonts w:hint="eastAsia" w:ascii="方正小标宋简体" w:hAnsi="方正小标宋简体" w:eastAsia="方正小标宋简体" w:cs="方正小标宋简体"/>
          <w:sz w:val="24"/>
        </w:rPr>
        <w:t>县（市、区）   填表人：</w:t>
      </w: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</w:t>
      </w:r>
      <w:r>
        <w:rPr>
          <w:rFonts w:hint="eastAsia" w:ascii="方正小标宋简体" w:hAnsi="方正小标宋简体" w:eastAsia="方正小标宋简体" w:cs="方正小标宋简体"/>
          <w:sz w:val="24"/>
        </w:rPr>
        <w:t xml:space="preserve"> 联系手机：</w:t>
      </w: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          </w:t>
      </w:r>
    </w:p>
    <w:tbl>
      <w:tblPr>
        <w:tblStyle w:val="7"/>
        <w:tblW w:w="9356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8"/>
        <w:gridCol w:w="2666"/>
        <w:gridCol w:w="1253"/>
        <w:gridCol w:w="1276"/>
        <w:gridCol w:w="1843"/>
      </w:tblGrid>
      <w:tr w14:paraId="20366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2318" w:type="dxa"/>
            <w:vAlign w:val="center"/>
          </w:tcPr>
          <w:p w14:paraId="5468EFC4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单位</w:t>
            </w:r>
          </w:p>
        </w:tc>
        <w:tc>
          <w:tcPr>
            <w:tcW w:w="2666" w:type="dxa"/>
            <w:vAlign w:val="center"/>
          </w:tcPr>
          <w:p w14:paraId="43EDC43D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  <w:t>案例</w:t>
            </w:r>
            <w:r>
              <w:rPr>
                <w:rFonts w:hint="eastAsia" w:ascii="黑体" w:hAnsi="黑体" w:eastAsia="黑体" w:cs="黑体"/>
                <w:color w:val="000000"/>
                <w:sz w:val="24"/>
              </w:rPr>
              <w:t>名称</w:t>
            </w:r>
          </w:p>
        </w:tc>
        <w:tc>
          <w:tcPr>
            <w:tcW w:w="1253" w:type="dxa"/>
            <w:vAlign w:val="center"/>
          </w:tcPr>
          <w:p w14:paraId="1C7DE48B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负责人</w:t>
            </w:r>
          </w:p>
          <w:p w14:paraId="5346DBC8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姓名</w:t>
            </w:r>
          </w:p>
        </w:tc>
        <w:tc>
          <w:tcPr>
            <w:tcW w:w="1276" w:type="dxa"/>
            <w:vAlign w:val="center"/>
          </w:tcPr>
          <w:p w14:paraId="76E810F4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职务</w:t>
            </w:r>
          </w:p>
        </w:tc>
        <w:tc>
          <w:tcPr>
            <w:tcW w:w="1843" w:type="dxa"/>
            <w:vAlign w:val="center"/>
          </w:tcPr>
          <w:p w14:paraId="5C4DFBF6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联系方式</w:t>
            </w:r>
          </w:p>
        </w:tc>
      </w:tr>
      <w:tr w14:paraId="17080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C9C1A7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3D5C47D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194A75C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0E720D0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6639D5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D58B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A66B25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0DC6B4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66AD76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743CB88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9DC203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0F07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0018506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0DB9286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082B10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525C75C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1ECA491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B7E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4763244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0EEF6B5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434F58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E40CCD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001876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6DA0A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458F71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32ADF57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24C90A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77747B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65B7B0B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0426C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7F8FDA3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B3FDE0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CAE154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F72A78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E37B14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82C8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0C1A175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43D179F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2B42C3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FC4071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1E9B6E6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5267A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2318" w:type="dxa"/>
            <w:vAlign w:val="center"/>
          </w:tcPr>
          <w:p w14:paraId="2A90143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98B429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195E259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097B45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55EF12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 w14:paraId="72B5473A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sectPr>
      <w:pgSz w:w="11906" w:h="16838"/>
      <w:pgMar w:top="2041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E9ABDF29-AB7D-4744-8E66-DBCC25BF1420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F12846B3-3E66-4328-9F24-049F543C2232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F288C85C-915F-4050-B9A8-5B5BE61B741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4" w:fontKey="{A3A57BD3-D5F2-4FF2-887C-6817D0940A4D}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FangSong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12918829-8AD6-4988-8725-478456B4F881}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6" w:fontKey="{A9B75F95-C51F-4541-8B41-4A3EEAB50A30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7" w:fontKey="{D864F8B3-BA72-48FE-8444-8D45DC07270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E43DEEEF-27A2-475C-98D2-264A0AB73D36}"/>
  </w:font>
  <w:font w:name="WPSEMBED5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6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8BCA4F43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67529174"/>
      <w:docPartObj>
        <w:docPartGallery w:val="autotext"/>
      </w:docPartObj>
    </w:sdtPr>
    <w:sdtContent>
      <w:p w14:paraId="1C065D34">
        <w:pPr>
          <w:pStyle w:val="3"/>
          <w:jc w:val="center"/>
          <w:rPr>
            <w:rFonts w:hint="eastAsia"/>
          </w:rPr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12</w:t>
        </w:r>
        <w: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58"/>
  <w:drawingGridVerticalSpacing w:val="2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mMzVkNWQwMzE5YTVkODZkMWI4OTEzZTU3Zjk1M2IifQ=="/>
  </w:docVars>
  <w:rsids>
    <w:rsidRoot w:val="203C7B39"/>
    <w:rsid w:val="00002F96"/>
    <w:rsid w:val="00016B9A"/>
    <w:rsid w:val="002338A1"/>
    <w:rsid w:val="00904902"/>
    <w:rsid w:val="00937631"/>
    <w:rsid w:val="00B47110"/>
    <w:rsid w:val="00BF52F0"/>
    <w:rsid w:val="00C23CAC"/>
    <w:rsid w:val="00F13781"/>
    <w:rsid w:val="00FF6F1D"/>
    <w:rsid w:val="03242EBB"/>
    <w:rsid w:val="035A6F66"/>
    <w:rsid w:val="037979A5"/>
    <w:rsid w:val="040737E5"/>
    <w:rsid w:val="089401A6"/>
    <w:rsid w:val="0A5908CF"/>
    <w:rsid w:val="0AEF054D"/>
    <w:rsid w:val="0C7C5E74"/>
    <w:rsid w:val="0CFA67EF"/>
    <w:rsid w:val="0F997970"/>
    <w:rsid w:val="0FA61ACE"/>
    <w:rsid w:val="105A0D37"/>
    <w:rsid w:val="13B721AE"/>
    <w:rsid w:val="144B7858"/>
    <w:rsid w:val="15D13671"/>
    <w:rsid w:val="16F47617"/>
    <w:rsid w:val="19B80076"/>
    <w:rsid w:val="1A2C607F"/>
    <w:rsid w:val="1ADD3E4D"/>
    <w:rsid w:val="1D073B27"/>
    <w:rsid w:val="1E17232D"/>
    <w:rsid w:val="1F3E036D"/>
    <w:rsid w:val="1FF12450"/>
    <w:rsid w:val="203C7B39"/>
    <w:rsid w:val="22E76282"/>
    <w:rsid w:val="23071DC3"/>
    <w:rsid w:val="251F22F5"/>
    <w:rsid w:val="25B83F05"/>
    <w:rsid w:val="27407216"/>
    <w:rsid w:val="28E93818"/>
    <w:rsid w:val="294E0E09"/>
    <w:rsid w:val="29B669AE"/>
    <w:rsid w:val="29DE6D2F"/>
    <w:rsid w:val="2BDA5E70"/>
    <w:rsid w:val="2D3D23FF"/>
    <w:rsid w:val="2D564465"/>
    <w:rsid w:val="2DD72447"/>
    <w:rsid w:val="2DF64CA1"/>
    <w:rsid w:val="2FC7777C"/>
    <w:rsid w:val="369D33CF"/>
    <w:rsid w:val="39B23CFF"/>
    <w:rsid w:val="3A2B2497"/>
    <w:rsid w:val="3AB77B40"/>
    <w:rsid w:val="3CBA5E77"/>
    <w:rsid w:val="3E740A48"/>
    <w:rsid w:val="41EA7155"/>
    <w:rsid w:val="444833FB"/>
    <w:rsid w:val="48473475"/>
    <w:rsid w:val="484F2050"/>
    <w:rsid w:val="48771C76"/>
    <w:rsid w:val="4C0B5A52"/>
    <w:rsid w:val="4CDD40CE"/>
    <w:rsid w:val="50454464"/>
    <w:rsid w:val="53CB5C3E"/>
    <w:rsid w:val="54853372"/>
    <w:rsid w:val="55AA596D"/>
    <w:rsid w:val="57821531"/>
    <w:rsid w:val="57B520C3"/>
    <w:rsid w:val="597B0EF6"/>
    <w:rsid w:val="59943F04"/>
    <w:rsid w:val="5AC0064D"/>
    <w:rsid w:val="5C0A6AF3"/>
    <w:rsid w:val="5DDF2A0E"/>
    <w:rsid w:val="5E211003"/>
    <w:rsid w:val="61C55405"/>
    <w:rsid w:val="622969AA"/>
    <w:rsid w:val="637D1D0F"/>
    <w:rsid w:val="64EF09EB"/>
    <w:rsid w:val="65C23A09"/>
    <w:rsid w:val="6644245E"/>
    <w:rsid w:val="689324DF"/>
    <w:rsid w:val="6B841BB9"/>
    <w:rsid w:val="6C7D78FE"/>
    <w:rsid w:val="6F087A6B"/>
    <w:rsid w:val="75552583"/>
    <w:rsid w:val="75A60125"/>
    <w:rsid w:val="76D9013E"/>
    <w:rsid w:val="77286DB7"/>
    <w:rsid w:val="78306EF8"/>
    <w:rsid w:val="79BD3FE0"/>
    <w:rsid w:val="7B7566A6"/>
    <w:rsid w:val="7E30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customStyle="1" w:styleId="11">
    <w:name w:val="页脚 Char"/>
    <w:basedOn w:val="8"/>
    <w:link w:val="3"/>
    <w:qFormat/>
    <w:uiPriority w:val="99"/>
    <w:rPr>
      <w:kern w:val="2"/>
      <w:sz w:val="18"/>
      <w:szCs w:val="18"/>
    </w:rPr>
  </w:style>
  <w:style w:type="paragraph" w:customStyle="1" w:styleId="12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8"/>
      <w:szCs w:val="28"/>
      <w:lang w:val="en-US" w:eastAsia="en-US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14</Pages>
  <Words>2544</Words>
  <Characters>2587</Characters>
  <Lines>42</Lines>
  <Paragraphs>11</Paragraphs>
  <TotalTime>66</TotalTime>
  <ScaleCrop>false</ScaleCrop>
  <LinksUpToDate>false</LinksUpToDate>
  <CharactersWithSpaces>2587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2023-01-02T02:48:00Z</dcterms:created>
  <dc:creator>林高</dc:creator>
  <cp:lastModifiedBy>sly</cp:lastModifiedBy>
  <cp:lastPrinted>2026-02-02T09:36:00Z</cp:lastPrinted>
  <dcterms:modified xsi:type="dcterms:W3CDTF">2026-03-10T02:02:35Z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4577E7C9F9004B369751601001BB1566_13</vt:lpwstr>
  </property>
  <property fmtid="{D5CDD505-2E9C-101B-9397-08002B2CF9AE}" pid="4" name="KSOTemplateDocerSaveRecord">
    <vt:lpwstr>eyJoZGlkIjoiMzEwNTM5NzYwMDRjMzkwZTVkZjY2ODkwMGIxNGU0OTUiLCJ1c2VySWQiOiIxMDQ2ODg1NCJ9</vt:lpwstr>
  </property>
</Properties>
</file>