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D5B767D">
      <w:pPr>
        <w:ind w:right="84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附件</w:t>
      </w:r>
      <w:r>
        <w:rPr>
          <w:rFonts w:hint="default" w:ascii="Times New Roman" w:hAnsi="Times New Roman" w:eastAsia="仿宋_GB2312" w:cs="Times New Roman"/>
          <w:bCs/>
          <w:sz w:val="32"/>
          <w:szCs w:val="32"/>
          <w:lang w:val="en-US" w:eastAsia="zh-CN"/>
        </w:rPr>
        <w:t>1</w:t>
      </w:r>
    </w:p>
    <w:p w14:paraId="00BCE45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初中学校</w:t>
      </w:r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t>新常</w:t>
      </w:r>
      <w:bookmarkStart w:id="0" w:name="_GoBack"/>
      <w:bookmarkEnd w:id="0"/>
      <w:r>
        <w:rPr>
          <w:rFonts w:hint="eastAsia" w:ascii="宋体" w:hAnsi="宋体" w:cs="宋体"/>
          <w:b/>
          <w:bCs w:val="0"/>
          <w:sz w:val="36"/>
          <w:szCs w:val="36"/>
          <w:lang w:val="en-US" w:eastAsia="zh-CN"/>
        </w:rPr>
        <w:t>规建设</w:t>
      </w: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第一批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专题视导</w:t>
      </w: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安排</w:t>
      </w:r>
    </w:p>
    <w:tbl>
      <w:tblPr>
        <w:tblStyle w:val="5"/>
        <w:tblW w:w="1012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60"/>
        <w:gridCol w:w="1350"/>
        <w:gridCol w:w="1604"/>
        <w:gridCol w:w="2445"/>
        <w:gridCol w:w="876"/>
        <w:gridCol w:w="876"/>
        <w:gridCol w:w="2314"/>
      </w:tblGrid>
      <w:tr w14:paraId="79C7BE0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1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88C9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F78E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学校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FF211F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新常规建设</w:t>
            </w:r>
          </w:p>
          <w:p w14:paraId="2E349359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主题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D6B75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新质项目名称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008FF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带队</w:t>
            </w:r>
          </w:p>
        </w:tc>
        <w:tc>
          <w:tcPr>
            <w:tcW w:w="87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224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组长</w:t>
            </w:r>
          </w:p>
        </w:tc>
        <w:tc>
          <w:tcPr>
            <w:tcW w:w="231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7E0D0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黑体" w:hAnsi="黑体" w:eastAsia="黑体" w:cs="黑体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成员</w:t>
            </w:r>
          </w:p>
        </w:tc>
      </w:tr>
      <w:tr w14:paraId="629F459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005A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1*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22069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温州榕园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A55186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聚焦课堂观察，落地生长性课堂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194FA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食育生根，健康生长——温州榕园学校食育特色品牌项目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930F5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郑道春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DFCEF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邹丽娟</w:t>
            </w:r>
          </w:p>
        </w:tc>
        <w:tc>
          <w:tcPr>
            <w:tcW w:w="23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6C84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邹丽娟（英语）、</w:t>
            </w:r>
          </w:p>
          <w:p w14:paraId="6FC833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杨蓓蓓（语文）、</w:t>
            </w:r>
          </w:p>
          <w:p w14:paraId="5C9FF8B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徐璋（数学）、</w:t>
            </w:r>
          </w:p>
          <w:p w14:paraId="3A8B4C8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卓振宇（科学）、</w:t>
            </w:r>
          </w:p>
          <w:p w14:paraId="02EF794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en-US" w:bidi="ar"/>
              </w:rPr>
              <w:t>沈芳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（社会）、</w:t>
            </w:r>
          </w:p>
          <w:p w14:paraId="0601504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朱炳旭（体育）、</w:t>
            </w:r>
          </w:p>
          <w:p w14:paraId="436F27B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林茜茜（艺术）、</w:t>
            </w:r>
          </w:p>
          <w:p w14:paraId="15028C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卢庆慧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（信息劳动实践）</w:t>
            </w:r>
          </w:p>
        </w:tc>
      </w:tr>
      <w:tr w14:paraId="4E4CDDA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C026B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2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422CE7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梧田一中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901D6F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AI析学情，七色研真教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05A37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梧田一中基于AI智能的作业管理优化行动方案</w:t>
            </w: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3FF42C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A016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5571E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DDC134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2356E9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3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1D2465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第二外国语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4D484B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卡单·智联：建构无边界学习新样态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53725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卡单•智联：素养课堂的未来样态</w:t>
            </w: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231E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CF89A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DED05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5CCCC7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6D0AB6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4*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E1330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牛山实验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3DE8B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推进技术赋能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252A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初中美育课堂人机协同学习场景创新实践</w:t>
            </w:r>
          </w:p>
        </w:tc>
        <w:tc>
          <w:tcPr>
            <w:tcW w:w="4066" w:type="dxa"/>
            <w:gridSpan w:val="3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20994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shd w:val="clear" w:fill="FFFFFF"/>
              </w:rPr>
              <w:t>9月28日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shd w:val="clear" w:fill="FFFFFF"/>
              </w:rPr>
              <w:t>内涵项目巡导工作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aps w:val="0"/>
                <w:color w:val="171A1D"/>
                <w:spacing w:val="0"/>
                <w:sz w:val="21"/>
                <w:szCs w:val="21"/>
                <w:shd w:val="clear" w:fill="FFFFFF"/>
                <w:lang w:eastAsia="zh-CN"/>
              </w:rPr>
              <w:t>，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研训员</w:t>
            </w:r>
          </w:p>
        </w:tc>
      </w:tr>
      <w:tr w14:paraId="5528C5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D8C268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5*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B0B60F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瓯海外国语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89438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AI+发现式学习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642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“榉园师界”：教师发展性评价的 AI 赋能实践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0A2BBE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董爱敏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72677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白福清</w:t>
            </w:r>
          </w:p>
        </w:tc>
        <w:tc>
          <w:tcPr>
            <w:tcW w:w="23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C9326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白福清（数学）、</w:t>
            </w:r>
          </w:p>
          <w:p w14:paraId="6114CAA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叶玮玮（语文）、</w:t>
            </w:r>
          </w:p>
          <w:p w14:paraId="721E8AF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 xml:space="preserve">薛丽娜（英语）、 </w:t>
            </w:r>
          </w:p>
          <w:p w14:paraId="6C71DCE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锏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（科学）、</w:t>
            </w:r>
          </w:p>
          <w:p w14:paraId="735F89C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潘伯俊（社会）</w:t>
            </w:r>
          </w:p>
          <w:p w14:paraId="79503D1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汤燕春（体育）</w:t>
            </w:r>
          </w:p>
          <w:p w14:paraId="38DA72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麻素芳（艺术）、</w:t>
            </w:r>
          </w:p>
          <w:p w14:paraId="6917E3C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朱蕾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>（信息劳动实践）</w:t>
            </w:r>
          </w:p>
        </w:tc>
      </w:tr>
      <w:tr w14:paraId="6DF34A7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8AD02C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6*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99AF7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华和外国语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74E091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守真赋能·立规提质——能量课堂引领下的新常规建设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8E5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“能量课堂”视域下的跨学科主题学习校本化实践研究</w:t>
            </w: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032F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A558E1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8AF12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0931F4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75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7472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7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1A22EA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温中附中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C6A989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温州中学附属初中正奇表现性课堂变革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665E9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温州中学附属初中正奇表现性课堂变革方案</w:t>
            </w: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7F3F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44969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8FC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4E52349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980DA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8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08FD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娄桥外国语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A1595D0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思启新常规，创生真课堂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5D17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基于问学课堂的学科实践与能力提升</w:t>
            </w: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B828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FCA5C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1F0E22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6B380FB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B5A0E4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9*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FFF6B2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高铁实验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BDE8FA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公平教育下差异化教学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8BECD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选课走班：公平教育下的差异化教学实践研究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90A1E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伍阔伦</w:t>
            </w:r>
          </w:p>
        </w:tc>
        <w:tc>
          <w:tcPr>
            <w:tcW w:w="87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740A0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潘天真</w:t>
            </w:r>
          </w:p>
        </w:tc>
        <w:tc>
          <w:tcPr>
            <w:tcW w:w="2314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8806D5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林爽（语文）、</w:t>
            </w:r>
          </w:p>
          <w:p w14:paraId="31DA1909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张昌呈（数学）、</w:t>
            </w:r>
          </w:p>
          <w:p w14:paraId="4E590254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张昭昭（英语）、</w:t>
            </w:r>
          </w:p>
          <w:p w14:paraId="62FA75B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张群武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（科学）、</w:t>
            </w:r>
          </w:p>
          <w:p w14:paraId="40A99FCF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徐琦环（社会）、</w:t>
            </w:r>
          </w:p>
          <w:p w14:paraId="1AED5437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陈春辉（体育）、</w:t>
            </w:r>
          </w:p>
          <w:p w14:paraId="234C929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朱洁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如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（艺术）、</w:t>
            </w:r>
          </w:p>
          <w:p w14:paraId="7A05759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潘天真</w:t>
            </w: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18"/>
                <w:szCs w:val="18"/>
                <w:u w:val="none"/>
                <w:lang w:val="en-US" w:eastAsia="zh-CN" w:bidi="ar"/>
              </w:rPr>
              <w:t xml:space="preserve">（信息劳动实践） </w:t>
            </w:r>
          </w:p>
        </w:tc>
      </w:tr>
      <w:tr w14:paraId="766FD8D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EF7953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10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BDFB50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仙岩华侨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AF4CD5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聚焦任务的学习设计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7BBB2BD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“主题引领·数字循证”校本研修新范式</w:t>
            </w: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611CC3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E04CF6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E8E310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  <w:tr w14:paraId="787CD6E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8" w:hRule="atLeast"/>
          <w:jc w:val="center"/>
        </w:trPr>
        <w:tc>
          <w:tcPr>
            <w:tcW w:w="66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1717818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11</w:t>
            </w:r>
          </w:p>
        </w:tc>
        <w:tc>
          <w:tcPr>
            <w:tcW w:w="1350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344D9B"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塘下校区</w:t>
            </w:r>
          </w:p>
        </w:tc>
        <w:tc>
          <w:tcPr>
            <w:tcW w:w="1604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32C9F3">
            <w:pPr>
              <w:keepNext w:val="0"/>
              <w:keepLines w:val="0"/>
              <w:widowControl/>
              <w:suppressLineNumbers w:val="0"/>
              <w:jc w:val="both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课堂变革——慧学课堂</w:t>
            </w:r>
          </w:p>
        </w:tc>
        <w:tc>
          <w:tcPr>
            <w:tcW w:w="2445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9F6A8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“数智作业”赋能精准教学</w:t>
            </w: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73DCBA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87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295A98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  <w:tc>
          <w:tcPr>
            <w:tcW w:w="2314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371E4B"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default" w:ascii="Times New Roman" w:hAnsi="Times New Roman" w:eastAsia="宋体" w:cs="Times New Roman"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</w:p>
        </w:tc>
      </w:tr>
    </w:tbl>
    <w:p w14:paraId="405FC70C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7EE7C7CE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705E75C1">
      <w:pPr>
        <w:keepNext w:val="0"/>
        <w:keepLines w:val="0"/>
        <w:widowControl/>
        <w:suppressLineNumbers w:val="0"/>
        <w:jc w:val="left"/>
        <w:textAlignment w:val="center"/>
        <w:rPr>
          <w:rFonts w:hint="eastAsia" w:ascii="宋体" w:hAnsi="宋体" w:eastAsia="宋体" w:cs="宋体"/>
          <w:i w:val="0"/>
          <w:iCs w:val="0"/>
          <w:color w:val="000000"/>
          <w:kern w:val="0"/>
          <w:sz w:val="20"/>
          <w:szCs w:val="20"/>
          <w:u w:val="none"/>
          <w:lang w:val="en-US" w:eastAsia="zh-CN" w:bidi="ar"/>
        </w:rPr>
      </w:pPr>
    </w:p>
    <w:p w14:paraId="1D646DD9">
      <w:pPr>
        <w:ind w:right="840"/>
        <w:rPr>
          <w:rFonts w:hint="default" w:ascii="Times New Roman" w:hAnsi="Times New Roman" w:eastAsia="仿宋_GB2312" w:cs="Times New Roman"/>
          <w:bCs/>
          <w:sz w:val="32"/>
          <w:szCs w:val="32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2</w:t>
      </w:r>
    </w:p>
    <w:p w14:paraId="063F4AA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eastAsia" w:ascii="宋体" w:hAnsi="宋体" w:eastAsia="宋体" w:cs="宋体"/>
          <w:b/>
          <w:bCs w:val="0"/>
          <w:sz w:val="36"/>
          <w:szCs w:val="36"/>
        </w:rPr>
      </w:pPr>
      <w:r>
        <w:rPr>
          <w:rFonts w:hint="eastAsia" w:ascii="宋体" w:hAnsi="宋体" w:eastAsia="宋体" w:cs="宋体"/>
          <w:b/>
          <w:bCs w:val="0"/>
          <w:sz w:val="36"/>
          <w:szCs w:val="36"/>
        </w:rPr>
        <w:t>初中学校课程实施</w:t>
      </w: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与管理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改进</w:t>
      </w:r>
      <w:r>
        <w:rPr>
          <w:rFonts w:hint="eastAsia" w:ascii="宋体" w:hAnsi="宋体" w:eastAsia="宋体" w:cs="宋体"/>
          <w:b/>
          <w:bCs w:val="0"/>
          <w:sz w:val="36"/>
          <w:szCs w:val="36"/>
          <w:lang w:val="en-US" w:eastAsia="zh-CN"/>
        </w:rPr>
        <w:t>视导</w:t>
      </w:r>
      <w:r>
        <w:rPr>
          <w:rFonts w:hint="eastAsia" w:ascii="宋体" w:hAnsi="宋体" w:eastAsia="宋体" w:cs="宋体"/>
          <w:b/>
          <w:bCs w:val="0"/>
          <w:sz w:val="36"/>
          <w:szCs w:val="36"/>
        </w:rPr>
        <w:t>反馈</w:t>
      </w:r>
    </w:p>
    <w:p w14:paraId="67D3F70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95" w:afterLines="30" w:line="560" w:lineRule="exact"/>
        <w:textAlignment w:val="auto"/>
        <w:rPr>
          <w:rFonts w:hint="default" w:ascii="Times New Roman" w:hAnsi="Times New Roman" w:eastAsia="楷体"/>
          <w:bCs/>
          <w:kern w:val="0"/>
          <w:sz w:val="24"/>
          <w:szCs w:val="24"/>
          <w:u w:val="single"/>
          <w:lang w:val="en-US" w:eastAsia="zh-CN"/>
        </w:rPr>
      </w:pPr>
      <w:r>
        <w:rPr>
          <w:rFonts w:ascii="Times New Roman" w:hAnsi="Times New Roman" w:eastAsia="楷体"/>
          <w:bCs/>
          <w:kern w:val="0"/>
          <w:sz w:val="24"/>
          <w:szCs w:val="24"/>
        </w:rPr>
        <w:t>学校：</w:t>
      </w:r>
      <w:r>
        <w:rPr>
          <w:rFonts w:ascii="Times New Roman" w:hAnsi="Times New Roman" w:eastAsia="楷体"/>
          <w:bCs/>
          <w:kern w:val="0"/>
          <w:sz w:val="24"/>
          <w:szCs w:val="24"/>
          <w:u w:val="single"/>
        </w:rPr>
        <w:t xml:space="preserve">              </w:t>
      </w:r>
      <w:r>
        <w:rPr>
          <w:rFonts w:ascii="Times New Roman" w:hAnsi="Times New Roman" w:eastAsia="楷体"/>
          <w:bCs/>
          <w:kern w:val="0"/>
          <w:sz w:val="24"/>
          <w:szCs w:val="24"/>
        </w:rPr>
        <w:t xml:space="preserve">   202</w:t>
      </w:r>
      <w:r>
        <w:rPr>
          <w:rFonts w:hint="eastAsia" w:ascii="Times New Roman" w:hAnsi="Times New Roman" w:eastAsia="楷体"/>
          <w:bCs/>
          <w:kern w:val="0"/>
          <w:sz w:val="24"/>
          <w:szCs w:val="24"/>
          <w:lang w:val="en-US" w:eastAsia="zh-CN"/>
        </w:rPr>
        <w:t xml:space="preserve"> </w:t>
      </w:r>
      <w:r>
        <w:rPr>
          <w:rFonts w:ascii="Times New Roman" w:hAnsi="Times New Roman" w:eastAsia="楷体"/>
          <w:bCs/>
          <w:kern w:val="0"/>
          <w:sz w:val="24"/>
          <w:szCs w:val="24"/>
        </w:rPr>
        <w:t>年</w:t>
      </w:r>
      <w:r>
        <w:rPr>
          <w:rFonts w:ascii="Times New Roman" w:hAnsi="Times New Roman" w:eastAsia="楷体"/>
          <w:bCs/>
          <w:kern w:val="0"/>
          <w:sz w:val="24"/>
          <w:szCs w:val="24"/>
          <w:u w:val="single"/>
        </w:rPr>
        <w:t xml:space="preserve"> </w:t>
      </w:r>
      <w:r>
        <w:rPr>
          <w:rFonts w:hint="eastAsia" w:ascii="Times New Roman" w:hAnsi="Times New Roman" w:eastAsia="楷体"/>
          <w:bCs/>
          <w:kern w:val="0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楷体"/>
          <w:bCs/>
          <w:kern w:val="0"/>
          <w:sz w:val="24"/>
          <w:szCs w:val="24"/>
          <w:u w:val="single"/>
        </w:rPr>
        <w:t xml:space="preserve"> </w:t>
      </w:r>
      <w:r>
        <w:rPr>
          <w:rFonts w:ascii="Times New Roman" w:hAnsi="Times New Roman" w:eastAsia="楷体"/>
          <w:bCs/>
          <w:kern w:val="0"/>
          <w:sz w:val="24"/>
          <w:szCs w:val="24"/>
        </w:rPr>
        <w:t>月</w:t>
      </w:r>
      <w:r>
        <w:rPr>
          <w:rFonts w:ascii="Times New Roman" w:hAnsi="Times New Roman" w:eastAsia="楷体"/>
          <w:bCs/>
          <w:kern w:val="0"/>
          <w:sz w:val="24"/>
          <w:szCs w:val="24"/>
          <w:u w:val="single"/>
        </w:rPr>
        <w:t xml:space="preserve">   </w:t>
      </w:r>
      <w:r>
        <w:rPr>
          <w:rFonts w:ascii="Times New Roman" w:hAnsi="Times New Roman" w:eastAsia="楷体"/>
          <w:bCs/>
          <w:kern w:val="0"/>
          <w:sz w:val="24"/>
          <w:szCs w:val="24"/>
        </w:rPr>
        <w:t>日</w:t>
      </w:r>
      <w:r>
        <w:rPr>
          <w:rFonts w:hint="eastAsia" w:ascii="Times New Roman" w:hAnsi="Times New Roman" w:eastAsia="楷体"/>
          <w:bCs/>
          <w:kern w:val="0"/>
          <w:sz w:val="24"/>
          <w:szCs w:val="24"/>
        </w:rPr>
        <w:t xml:space="preserve">  填写人</w:t>
      </w:r>
      <w:r>
        <w:rPr>
          <w:rFonts w:ascii="Times New Roman" w:hAnsi="Times New Roman" w:eastAsia="楷体"/>
          <w:bCs/>
          <w:kern w:val="0"/>
          <w:sz w:val="24"/>
          <w:szCs w:val="24"/>
        </w:rPr>
        <w:t>：</w:t>
      </w:r>
      <w:r>
        <w:rPr>
          <w:rFonts w:ascii="Times New Roman" w:hAnsi="Times New Roman" w:eastAsia="楷体"/>
          <w:bCs/>
          <w:kern w:val="0"/>
          <w:sz w:val="24"/>
          <w:szCs w:val="24"/>
          <w:u w:val="single"/>
        </w:rPr>
        <w:t xml:space="preserve">     </w:t>
      </w:r>
      <w:r>
        <w:rPr>
          <w:rFonts w:hint="eastAsia" w:ascii="Times New Roman" w:hAnsi="Times New Roman" w:eastAsia="楷体"/>
          <w:bCs/>
          <w:kern w:val="0"/>
          <w:sz w:val="24"/>
          <w:szCs w:val="24"/>
          <w:u w:val="single"/>
          <w:lang w:val="en-US" w:eastAsia="zh-CN"/>
        </w:rPr>
        <w:t xml:space="preserve">    学科：         </w:t>
      </w:r>
    </w:p>
    <w:tbl>
      <w:tblPr>
        <w:tblStyle w:val="5"/>
        <w:tblW w:w="9265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88"/>
        <w:gridCol w:w="8277"/>
      </w:tblGrid>
      <w:tr w14:paraId="0E598EF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55" w:hRule="atLeast"/>
        </w:trPr>
        <w:tc>
          <w:tcPr>
            <w:tcW w:w="988" w:type="dxa"/>
            <w:vAlign w:val="center"/>
          </w:tcPr>
          <w:p w14:paraId="2348089A">
            <w:pPr>
              <w:jc w:val="center"/>
              <w:rPr>
                <w:rFonts w:hint="eastAsia"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</w:rPr>
              <w:t>项目</w:t>
            </w:r>
          </w:p>
        </w:tc>
        <w:tc>
          <w:tcPr>
            <w:tcW w:w="8277" w:type="dxa"/>
            <w:vAlign w:val="center"/>
          </w:tcPr>
          <w:p w14:paraId="673A0BD7">
            <w:pPr>
              <w:jc w:val="center"/>
              <w:rPr>
                <w:rFonts w:hint="eastAsia" w:ascii="黑体" w:hAnsi="黑体" w:eastAsia="黑体" w:cs="黑体"/>
                <w:bCs/>
              </w:rPr>
            </w:pPr>
            <w:r>
              <w:rPr>
                <w:rFonts w:hint="eastAsia" w:ascii="黑体" w:hAnsi="黑体" w:eastAsia="黑体" w:cs="黑体"/>
                <w:bCs/>
              </w:rPr>
              <w:t>内            容</w:t>
            </w:r>
          </w:p>
        </w:tc>
      </w:tr>
      <w:tr w14:paraId="26B96E3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5" w:hRule="atLeast"/>
        </w:trPr>
        <w:tc>
          <w:tcPr>
            <w:tcW w:w="988" w:type="dxa"/>
            <w:vAlign w:val="center"/>
          </w:tcPr>
          <w:p w14:paraId="465DC593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视导关键问题</w:t>
            </w:r>
          </w:p>
        </w:tc>
        <w:tc>
          <w:tcPr>
            <w:tcW w:w="8277" w:type="dxa"/>
            <w:vAlign w:val="center"/>
          </w:tcPr>
          <w:p w14:paraId="13DD9C8A">
            <w:pPr>
              <w:rPr>
                <w:bCs/>
              </w:rPr>
            </w:pPr>
            <w:r>
              <w:rPr>
                <w:rFonts w:hint="eastAsia"/>
                <w:bCs/>
              </w:rPr>
              <w:t xml:space="preserve"> （或教育内涵项目名称）</w:t>
            </w:r>
          </w:p>
        </w:tc>
      </w:tr>
      <w:tr w14:paraId="582E5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60" w:hRule="atLeast"/>
        </w:trPr>
        <w:tc>
          <w:tcPr>
            <w:tcW w:w="988" w:type="dxa"/>
            <w:vAlign w:val="center"/>
          </w:tcPr>
          <w:p w14:paraId="134329C1">
            <w:pPr>
              <w:jc w:val="center"/>
              <w:rPr>
                <w:rFonts w:hint="eastAsia"/>
                <w:bCs/>
              </w:rPr>
            </w:pPr>
            <w:r>
              <w:rPr>
                <w:rFonts w:hint="eastAsia"/>
                <w:bCs/>
              </w:rPr>
              <w:t>实施</w:t>
            </w:r>
          </w:p>
          <w:p w14:paraId="04182518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进展</w:t>
            </w:r>
          </w:p>
        </w:tc>
        <w:tc>
          <w:tcPr>
            <w:tcW w:w="8277" w:type="dxa"/>
            <w:vAlign w:val="center"/>
          </w:tcPr>
          <w:p w14:paraId="26A5919B">
            <w:pPr>
              <w:rPr>
                <w:bCs/>
              </w:rPr>
            </w:pPr>
            <w:r>
              <w:rPr>
                <w:rFonts w:hint="eastAsia"/>
                <w:bCs/>
              </w:rPr>
              <w:t>结合项目，列举证据，分析学校、班级、学科、学生、项目的亮点与短板 （参考学校分析）</w:t>
            </w:r>
          </w:p>
          <w:p w14:paraId="6915CB44">
            <w:pPr>
              <w:rPr>
                <w:bCs/>
              </w:rPr>
            </w:pPr>
          </w:p>
        </w:tc>
      </w:tr>
      <w:tr w14:paraId="380B85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870" w:hRule="atLeast"/>
        </w:trPr>
        <w:tc>
          <w:tcPr>
            <w:tcW w:w="988" w:type="dxa"/>
            <w:vAlign w:val="center"/>
          </w:tcPr>
          <w:p w14:paraId="3A1D3415">
            <w:pPr>
              <w:jc w:val="center"/>
              <w:rPr>
                <w:bCs/>
              </w:rPr>
            </w:pPr>
            <w:r>
              <w:rPr>
                <w:rFonts w:hint="eastAsia"/>
                <w:bCs/>
              </w:rPr>
              <w:t>改进措施或后续行动</w:t>
            </w:r>
          </w:p>
        </w:tc>
        <w:tc>
          <w:tcPr>
            <w:tcW w:w="8277" w:type="dxa"/>
            <w:vAlign w:val="center"/>
          </w:tcPr>
          <w:p w14:paraId="61C9EB3C">
            <w:pPr>
              <w:rPr>
                <w:bCs/>
              </w:rPr>
            </w:pPr>
            <w:r>
              <w:rPr>
                <w:rFonts w:hint="eastAsia"/>
                <w:bCs/>
              </w:rPr>
              <w:t>针对学校、班级、学科、学生、项目的短板，分别提出可操作的措施</w:t>
            </w:r>
          </w:p>
        </w:tc>
      </w:tr>
    </w:tbl>
    <w:p w14:paraId="54925E6C">
      <w:pPr>
        <w:rPr>
          <w:rFonts w:hint="default" w:ascii="Times New Roman" w:hAnsi="Times New Roman" w:cs="Times New Roman"/>
          <w:bCs/>
        </w:rPr>
      </w:pPr>
    </w:p>
    <w:p w14:paraId="7C3C8D29">
      <w:pPr>
        <w:rPr>
          <w:rFonts w:hint="default" w:ascii="Times New Roman" w:hAnsi="Times New Roman" w:cs="Times New Roman"/>
          <w:bCs/>
        </w:rPr>
      </w:pPr>
      <w:r>
        <w:rPr>
          <w:rFonts w:hint="default" w:ascii="Times New Roman" w:hAnsi="Times New Roman" w:cs="Times New Roman"/>
          <w:bCs/>
        </w:rPr>
        <w:t>注：字数控制在</w:t>
      </w:r>
      <w:r>
        <w:rPr>
          <w:rFonts w:hint="default" w:ascii="Times New Roman" w:hAnsi="Times New Roman" w:cs="Times New Roman"/>
          <w:bCs/>
          <w:lang w:val="en-US" w:eastAsia="zh-CN"/>
        </w:rPr>
        <w:t>500</w:t>
      </w:r>
      <w:r>
        <w:rPr>
          <w:rFonts w:hint="default" w:ascii="Times New Roman" w:hAnsi="Times New Roman" w:cs="Times New Roman"/>
          <w:bCs/>
        </w:rPr>
        <w:t>字以内</w:t>
      </w:r>
    </w:p>
    <w:p w14:paraId="5D37AA08">
      <w:pPr>
        <w:rPr>
          <w:rFonts w:hint="default" w:ascii="Times New Roman" w:hAnsi="Times New Roman" w:cs="Times New Roman"/>
          <w:bCs/>
        </w:rPr>
      </w:pPr>
    </w:p>
    <w:p w14:paraId="63E7D828">
      <w:pPr>
        <w:rPr>
          <w:rFonts w:hint="eastAsia"/>
          <w:bCs/>
        </w:rPr>
      </w:pPr>
    </w:p>
    <w:p w14:paraId="32321449">
      <w:pPr>
        <w:rPr>
          <w:rFonts w:hint="eastAsia"/>
          <w:bCs/>
        </w:rPr>
      </w:pPr>
    </w:p>
    <w:p w14:paraId="1D63581C">
      <w:pPr>
        <w:ind w:right="840"/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仿宋_GB2312" w:cs="Times New Roman"/>
          <w:bCs/>
          <w:sz w:val="32"/>
          <w:szCs w:val="32"/>
        </w:rPr>
        <w:t>附件</w:t>
      </w:r>
      <w:r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  <w:t>3</w:t>
      </w:r>
    </w:p>
    <w:p w14:paraId="70676C52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ind w:right="0"/>
        <w:jc w:val="center"/>
        <w:textAlignment w:val="auto"/>
        <w:rPr>
          <w:rFonts w:hint="eastAsia" w:ascii="Times New Roman" w:hAnsi="Times New Roman" w:eastAsia="仿宋_GB2312" w:cs="Times New Roman"/>
          <w:bCs/>
          <w:sz w:val="32"/>
          <w:szCs w:val="32"/>
          <w:lang w:val="en-US" w:eastAsia="zh-CN"/>
        </w:rPr>
      </w:pPr>
      <w:r>
        <w:rPr>
          <w:rFonts w:hint="default" w:ascii="Times New Roman" w:hAnsi="Times New Roman" w:eastAsia="宋体" w:cs="Times New Roman"/>
          <w:b/>
          <w:bCs w:val="0"/>
          <w:sz w:val="36"/>
          <w:szCs w:val="36"/>
          <w:lang w:val="en-US" w:eastAsia="zh-CN"/>
        </w:rPr>
        <w:t>温州市初中课程教学管理过程指导反馈表</w:t>
      </w:r>
      <w:r>
        <w:rPr>
          <w:rFonts w:hint="eastAsia" w:ascii="Times New Roman" w:hAnsi="Times New Roman" w:cs="Times New Roman"/>
          <w:b/>
          <w:bCs w:val="0"/>
          <w:sz w:val="36"/>
          <w:szCs w:val="36"/>
          <w:lang w:val="en-US" w:eastAsia="zh-CN"/>
        </w:rPr>
        <w:t>（</w:t>
      </w:r>
      <w:r>
        <w:rPr>
          <w:rFonts w:hint="default" w:ascii="Times New Roman" w:hAnsi="Times New Roman" w:eastAsia="宋体" w:cs="Times New Roman"/>
          <w:b/>
          <w:bCs w:val="0"/>
          <w:sz w:val="36"/>
          <w:szCs w:val="36"/>
          <w:lang w:val="en-US" w:eastAsia="zh-CN"/>
        </w:rPr>
        <w:t>2025年版</w:t>
      </w:r>
      <w:r>
        <w:rPr>
          <w:rFonts w:hint="eastAsia" w:ascii="Times New Roman" w:hAnsi="Times New Roman" w:cs="Times New Roman"/>
          <w:b/>
          <w:bCs w:val="0"/>
          <w:sz w:val="36"/>
          <w:szCs w:val="36"/>
          <w:lang w:val="en-US" w:eastAsia="zh-CN"/>
        </w:rPr>
        <w:t>）</w:t>
      </w:r>
    </w:p>
    <w:tbl>
      <w:tblPr>
        <w:tblStyle w:val="5"/>
        <w:tblW w:w="10365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15"/>
        <w:gridCol w:w="1460"/>
        <w:gridCol w:w="3715"/>
        <w:gridCol w:w="1710"/>
        <w:gridCol w:w="555"/>
        <w:gridCol w:w="555"/>
        <w:gridCol w:w="555"/>
        <w:gridCol w:w="600"/>
      </w:tblGrid>
      <w:tr w14:paraId="0E28636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D3D78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评议</w:t>
            </w:r>
            <w:r>
              <w:rPr>
                <w:rStyle w:val="15"/>
                <w:rFonts w:eastAsia="宋体"/>
                <w:b w:val="0"/>
                <w:bCs/>
                <w:lang w:val="en-US" w:eastAsia="zh-CN" w:bidi="ar"/>
              </w:rPr>
              <w:br w:type="textWrapping"/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信息</w:t>
            </w:r>
          </w:p>
        </w:tc>
        <w:tc>
          <w:tcPr>
            <w:tcW w:w="9150" w:type="dxa"/>
            <w:gridSpan w:val="7"/>
            <w:tcBorders>
              <w:top w:val="single" w:color="000000" w:sz="4" w:space="0"/>
              <w:left w:val="single" w:color="000000" w:sz="4" w:space="0"/>
              <w:bottom w:val="nil"/>
              <w:right w:val="single" w:color="auto" w:sz="4" w:space="0"/>
            </w:tcBorders>
            <w:shd w:val="clear" w:color="auto" w:fill="auto"/>
            <w:vAlign w:val="center"/>
          </w:tcPr>
          <w:p w14:paraId="3B787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</w:t>
            </w:r>
            <w:r>
              <w:rPr>
                <w:rStyle w:val="15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6"/>
                <w:rFonts w:eastAsia="宋体"/>
                <w:b w:val="0"/>
                <w:bCs/>
                <w:lang w:val="en-US" w:eastAsia="zh-CN" w:bidi="ar"/>
              </w:rPr>
              <w:t xml:space="preserve">                     </w:t>
            </w:r>
            <w:r>
              <w:rPr>
                <w:rStyle w:val="15"/>
                <w:rFonts w:eastAsia="宋体"/>
                <w:b w:val="0"/>
                <w:bCs/>
                <w:lang w:val="en-US" w:eastAsia="zh-CN" w:bidi="ar"/>
              </w:rPr>
              <w:t xml:space="preserve"> 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评估</w:t>
            </w:r>
            <w:r>
              <w:rPr>
                <w:rStyle w:val="17"/>
                <w:b w:val="0"/>
                <w:bCs/>
                <w:lang w:val="en-US" w:eastAsia="zh-CN" w:bidi="ar"/>
              </w:rPr>
              <w:t>时间</w:t>
            </w:r>
            <w:r>
              <w:rPr>
                <w:rStyle w:val="15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6"/>
                <w:rFonts w:eastAsia="宋体"/>
                <w:b w:val="0"/>
                <w:bCs/>
                <w:lang w:val="en-US" w:eastAsia="zh-CN" w:bidi="ar"/>
              </w:rPr>
              <w:t xml:space="preserve">              </w:t>
            </w: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评估人</w:t>
            </w:r>
            <w:r>
              <w:rPr>
                <w:rStyle w:val="16"/>
                <w:rFonts w:eastAsia="宋体"/>
                <w:b w:val="0"/>
                <w:bCs/>
                <w:lang w:val="en-US" w:eastAsia="zh-CN" w:bidi="ar"/>
              </w:rPr>
              <w:t xml:space="preserve">                    </w:t>
            </w:r>
            <w:r>
              <w:rPr>
                <w:rStyle w:val="15"/>
                <w:rFonts w:eastAsia="宋体"/>
                <w:b w:val="0"/>
                <w:bCs/>
                <w:lang w:val="en-US" w:eastAsia="zh-CN" w:bidi="ar"/>
              </w:rPr>
              <w:t xml:space="preserve">                                 </w:t>
            </w:r>
          </w:p>
        </w:tc>
      </w:tr>
      <w:tr w14:paraId="7BD8C1D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8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804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一级指标</w:t>
            </w:r>
          </w:p>
        </w:tc>
        <w:tc>
          <w:tcPr>
            <w:tcW w:w="14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EB820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二级指标</w:t>
            </w:r>
          </w:p>
        </w:tc>
        <w:tc>
          <w:tcPr>
            <w:tcW w:w="37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F2E1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评议要素</w:t>
            </w:r>
          </w:p>
        </w:tc>
        <w:tc>
          <w:tcPr>
            <w:tcW w:w="171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2D0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材料或评议方式</w:t>
            </w:r>
          </w:p>
        </w:tc>
        <w:tc>
          <w:tcPr>
            <w:tcW w:w="2265" w:type="dxa"/>
            <w:gridSpan w:val="4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shd w:val="clear" w:color="auto" w:fill="auto"/>
            <w:vAlign w:val="center"/>
          </w:tcPr>
          <w:p w14:paraId="07378F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评议情况</w:t>
            </w:r>
          </w:p>
        </w:tc>
      </w:tr>
      <w:tr w14:paraId="6514AD1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1793D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8C713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37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C348FB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71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F46FA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BF258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分值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A13D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自评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6148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县评</w:t>
            </w: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04A08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市评</w:t>
            </w:r>
          </w:p>
        </w:tc>
      </w:tr>
      <w:tr w14:paraId="3A1F79F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7A4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A1</w:t>
            </w:r>
            <w:r>
              <w:rPr>
                <w:rStyle w:val="19"/>
                <w:b w:val="0"/>
                <w:bCs/>
                <w:lang w:val="en-US" w:eastAsia="zh-CN" w:bidi="ar"/>
              </w:rPr>
              <w:t>开齐开足课程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(8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837D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</w:t>
            </w:r>
            <w:r>
              <w:rPr>
                <w:rStyle w:val="19"/>
                <w:b w:val="0"/>
                <w:bCs/>
                <w:lang w:val="en-US" w:eastAsia="zh-CN" w:bidi="ar"/>
              </w:rPr>
              <w:t>组织管理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8F56C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设立教学管理领导小组；成立课程管理委员会，结合校情研制学校课程实施方案；每学年开展课程设置研研讨。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CAA8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教学管理领导小组名单、课程管理委员会名单及课程实施方案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DCE6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C5D3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6E44E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54BD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6C648F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38DD8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E0F1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</w:t>
            </w:r>
            <w:r>
              <w:rPr>
                <w:rStyle w:val="19"/>
                <w:b w:val="0"/>
                <w:bCs/>
                <w:lang w:val="en-US" w:eastAsia="zh-CN" w:bidi="ar"/>
              </w:rPr>
              <w:t>规范课程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16D1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开齐开足课程，课程名称规范。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A1EE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查看材料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/</w:t>
            </w:r>
            <w:r>
              <w:rPr>
                <w:rStyle w:val="19"/>
                <w:b w:val="0"/>
                <w:bCs/>
                <w:lang w:val="en-US" w:eastAsia="zh-CN" w:bidi="ar"/>
              </w:rPr>
              <w:t>学生问卷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082D1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BF1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3F5B6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ED5EB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9A988D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D67EA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8AA7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B3</w:t>
            </w:r>
            <w:r>
              <w:rPr>
                <w:rStyle w:val="19"/>
                <w:b w:val="0"/>
                <w:bCs/>
                <w:lang w:val="en-US" w:eastAsia="zh-CN" w:bidi="ar"/>
              </w:rPr>
              <w:t>课程优化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182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每学年根据实施情况调整优化课程实施方案，报主管教育行政部门备案并通过审核。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649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查看材料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7602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87851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E9B02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0489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AAE517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598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A2</w:t>
            </w:r>
            <w:r>
              <w:rPr>
                <w:rStyle w:val="19"/>
                <w:b w:val="0"/>
                <w:bCs/>
                <w:lang w:val="en-US" w:eastAsia="zh-CN" w:bidi="ar"/>
              </w:rPr>
              <w:t>优化课程实施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(8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DA7F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B4</w:t>
            </w:r>
            <w:r>
              <w:rPr>
                <w:rStyle w:val="19"/>
                <w:b w:val="0"/>
                <w:bCs/>
                <w:lang w:val="en-US" w:eastAsia="zh-CN" w:bidi="ar"/>
              </w:rPr>
              <w:t>规范表册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C16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科学规范安排学生在校作息时间表、学校课程表、教师授课表和班级功课表。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FC0B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查看材料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74B9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A41F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D214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7514A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9D131B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83493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CA73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B5</w:t>
            </w:r>
            <w:r>
              <w:rPr>
                <w:rStyle w:val="19"/>
                <w:b w:val="0"/>
                <w:bCs/>
                <w:lang w:val="en-US" w:eastAsia="zh-CN" w:bidi="ar"/>
              </w:rPr>
              <w:t>监督巡视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C4BF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对班级的课程开设、课时保障开展常态化巡视；定期走访学生了解班级开课情况。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6AF4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课堂巡视记录师生座谈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D739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B7E7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24F0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D49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F591CF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72A30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EBE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B6</w:t>
            </w:r>
            <w:r>
              <w:rPr>
                <w:rStyle w:val="19"/>
                <w:b w:val="0"/>
                <w:bCs/>
                <w:lang w:val="en-US" w:eastAsia="zh-CN" w:bidi="ar"/>
              </w:rPr>
              <w:t>保障实施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F21B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依据县级教育行政和教研部门对本校课程调研后的建议，及时修正课程设置和实施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6A26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查看材料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1D5ED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2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C3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CDB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73741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043C1C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1004BC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强化备课管理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(12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B4FD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B7</w:t>
            </w:r>
            <w:r>
              <w:rPr>
                <w:rStyle w:val="19"/>
                <w:b w:val="0"/>
                <w:bCs/>
                <w:lang w:val="en-US" w:eastAsia="zh-CN" w:bidi="ar"/>
              </w:rPr>
              <w:t>备课要求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EE28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根据教师的教龄、层次、学科特点设置备课要求；组织开展多形式的集体备课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A6E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学备课制度、集体备课相关材料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BD36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3081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0DED6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D460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89D9B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D638A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AE30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B8</w:t>
            </w:r>
            <w:r>
              <w:rPr>
                <w:rStyle w:val="19"/>
                <w:b w:val="0"/>
                <w:bCs/>
                <w:lang w:val="en-US" w:eastAsia="zh-CN" w:bidi="ar"/>
              </w:rPr>
              <w:t>备课方式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2843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教师个人备课按照各学科教学常规要求实行；兼任学科在优质共享资源的基础上进行二度备课。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39D5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教师备课本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538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BB3B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8F66F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C444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02EBA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200526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5C6AC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B9</w:t>
            </w:r>
            <w:r>
              <w:rPr>
                <w:rStyle w:val="19"/>
                <w:b w:val="0"/>
                <w:bCs/>
                <w:lang w:val="en-US" w:eastAsia="zh-CN" w:bidi="ar"/>
              </w:rPr>
              <w:t>检查反馈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5C0B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建立定期检查与随机抽查相结合的备课评议指导制度，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全员检查一学期不少于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3</w:t>
            </w:r>
            <w:r>
              <w:rPr>
                <w:rStyle w:val="19"/>
                <w:b w:val="0"/>
                <w:bCs/>
                <w:lang w:val="en-US" w:eastAsia="zh-CN" w:bidi="ar"/>
              </w:rPr>
              <w:t>次，教学检查后有典型案例的分享与反馈。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75C1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备课评议制度、课检查记录、检查反馈材料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9495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A5C7D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F882E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5A14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BEB302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6AD1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A4</w:t>
            </w:r>
            <w:r>
              <w:rPr>
                <w:rStyle w:val="19"/>
                <w:b w:val="0"/>
                <w:bCs/>
                <w:lang w:val="en-US" w:eastAsia="zh-CN" w:bidi="ar"/>
              </w:rPr>
              <w:t>强化上课管理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(15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6CF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B10</w:t>
            </w:r>
            <w:r>
              <w:rPr>
                <w:rStyle w:val="19"/>
                <w:b w:val="0"/>
                <w:bCs/>
                <w:lang w:val="en-US" w:eastAsia="zh-CN" w:bidi="ar"/>
              </w:rPr>
              <w:t>建立常规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73FF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建立学校课堂教与学常规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F81A8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查看材料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BBE9D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7E32B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E702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4AB0D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013768D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E62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B0ED7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B11</w:t>
            </w:r>
            <w:r>
              <w:rPr>
                <w:rStyle w:val="19"/>
                <w:b w:val="0"/>
                <w:bCs/>
                <w:lang w:val="en-US" w:eastAsia="zh-CN" w:bidi="ar"/>
              </w:rPr>
              <w:t>规范上课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4D0F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建立教学调研、考核和奖励制度；学校积极开展巡课、预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约听课、诊课等教学视导活动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2B54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相关制度检查记录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2A70E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6FA64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D4D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AFED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9888F6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0BAD8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A07F4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B12</w:t>
            </w:r>
            <w:r>
              <w:rPr>
                <w:rStyle w:val="19"/>
                <w:b w:val="0"/>
                <w:bCs/>
                <w:lang w:val="en-US" w:eastAsia="zh-CN" w:bidi="ar"/>
              </w:rPr>
              <w:t>课堂调研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CDE35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每月开展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“</w:t>
            </w:r>
            <w:r>
              <w:rPr>
                <w:rStyle w:val="19"/>
                <w:b w:val="0"/>
                <w:bCs/>
                <w:lang w:val="en-US" w:eastAsia="zh-CN" w:bidi="ar"/>
              </w:rPr>
              <w:t>推门听课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”</w:t>
            </w:r>
            <w:r>
              <w:rPr>
                <w:rStyle w:val="19"/>
                <w:b w:val="0"/>
                <w:bCs/>
                <w:lang w:val="en-US" w:eastAsia="zh-CN" w:bidi="ar"/>
              </w:rPr>
              <w:t>等形式课堂调研，并对调研中的典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型经验开展反馈交流和总结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4724A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调研材料师生座谈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9EFB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5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DD1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92FCE5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D82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78A21C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0FBE4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A5</w:t>
            </w:r>
            <w:r>
              <w:rPr>
                <w:rStyle w:val="19"/>
                <w:b w:val="0"/>
                <w:bCs/>
                <w:lang w:val="en-US" w:eastAsia="zh-CN" w:bidi="ar"/>
              </w:rPr>
              <w:t>强化作业管理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9"/>
                <w:b w:val="0"/>
                <w:bCs/>
                <w:lang w:val="en-US" w:eastAsia="zh-CN" w:bidi="ar"/>
              </w:rPr>
              <w:t>（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12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BB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B13</w:t>
            </w:r>
            <w:r>
              <w:rPr>
                <w:rStyle w:val="19"/>
                <w:b w:val="0"/>
                <w:bCs/>
                <w:lang w:val="en-US" w:eastAsia="zh-CN" w:bidi="ar"/>
              </w:rPr>
              <w:t>作业机制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EB03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压减重复性作业，聚焦核心素养设计针对性作业，完善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作业统筹和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“</w:t>
            </w:r>
            <w:r>
              <w:rPr>
                <w:rStyle w:val="19"/>
                <w:b w:val="0"/>
                <w:bCs/>
                <w:lang w:val="en-US" w:eastAsia="zh-CN" w:bidi="ar"/>
              </w:rPr>
              <w:t>熔断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”</w:t>
            </w:r>
            <w:r>
              <w:rPr>
                <w:rStyle w:val="19"/>
                <w:b w:val="0"/>
                <w:bCs/>
                <w:lang w:val="en-US" w:eastAsia="zh-CN" w:bidi="ar"/>
              </w:rPr>
              <w:t>机制。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919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作业机制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师生座谈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22840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B475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3E51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A1E0C6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6DC648E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991FFD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E9EA9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B14</w:t>
            </w:r>
            <w:r>
              <w:rPr>
                <w:rStyle w:val="19"/>
                <w:b w:val="0"/>
                <w:bCs/>
                <w:lang w:val="en-US" w:eastAsia="zh-CN" w:bidi="ar"/>
              </w:rPr>
              <w:t>作业检查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2A1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定期检查和抽查班级、学科作业的总量及批改情况；每学期至少开展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1</w:t>
            </w:r>
            <w:r>
              <w:rPr>
                <w:rStyle w:val="19"/>
                <w:b w:val="0"/>
                <w:bCs/>
                <w:lang w:val="en-US" w:eastAsia="zh-CN" w:bidi="ar"/>
              </w:rPr>
              <w:t>次有关作业情况的调查分析。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0030E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作业检查记录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349EA3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57236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D7B74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9AD5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6DA5C5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7100B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BB84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B15</w:t>
            </w:r>
            <w:r>
              <w:rPr>
                <w:rStyle w:val="19"/>
                <w:b w:val="0"/>
                <w:bCs/>
                <w:lang w:val="en-US" w:eastAsia="zh-CN" w:bidi="ar"/>
              </w:rPr>
              <w:t>作业研修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2B32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学校开展以作业为主题的校本教研活动；学校组织优秀作业展示交流活动。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8E915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校本研修材料、作业展评材料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B2F97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CDB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8CE30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9B908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4CE0D6F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CA1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A6</w:t>
            </w:r>
            <w:r>
              <w:rPr>
                <w:rStyle w:val="19"/>
                <w:b w:val="0"/>
                <w:bCs/>
                <w:lang w:val="en-US" w:eastAsia="zh-CN" w:bidi="ar"/>
              </w:rPr>
              <w:t>深化学业评价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(12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5BE38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B16</w:t>
            </w:r>
            <w:r>
              <w:rPr>
                <w:rStyle w:val="19"/>
                <w:b w:val="0"/>
                <w:bCs/>
                <w:lang w:val="en-US" w:eastAsia="zh-CN" w:bidi="ar"/>
              </w:rPr>
              <w:t>评价方案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5862C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学校依据县域评价方案制定五育并举的综合评价方案。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842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评价方案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8423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9592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09FB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6B69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3E8328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8E9E4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C1F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B17</w:t>
            </w:r>
            <w:r>
              <w:rPr>
                <w:rStyle w:val="19"/>
                <w:b w:val="0"/>
                <w:bCs/>
                <w:lang w:val="en-US" w:eastAsia="zh-CN" w:bidi="ar"/>
              </w:rPr>
              <w:t>学校评价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0096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每学年开展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1</w:t>
            </w:r>
            <w:r>
              <w:rPr>
                <w:rStyle w:val="19"/>
                <w:b w:val="0"/>
                <w:bCs/>
                <w:lang w:val="en-US" w:eastAsia="zh-CN" w:bidi="ar"/>
              </w:rPr>
              <w:t>次学业质量分析会；学校不按照分数进行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各项排名。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4DF8E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会议记录、师生座谈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15663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B0A4B6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F3F5B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F38B6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A2B531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AA4432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FE9DB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B18</w:t>
            </w:r>
            <w:r>
              <w:rPr>
                <w:rStyle w:val="19"/>
                <w:b w:val="0"/>
                <w:bCs/>
                <w:lang w:val="en-US" w:eastAsia="zh-CN" w:bidi="ar"/>
              </w:rPr>
              <w:t>家长了解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55B9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引导家长了解综合评价要求。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6546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问卷调查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70020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32041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5BDC7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09B0A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4C80BB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E111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A7</w:t>
            </w:r>
            <w:r>
              <w:rPr>
                <w:rStyle w:val="19"/>
                <w:b w:val="0"/>
                <w:bCs/>
                <w:lang w:val="en-US" w:eastAsia="zh-CN" w:bidi="ar"/>
              </w:rPr>
              <w:t>推进教学改革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(9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3F1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B19</w:t>
            </w:r>
            <w:r>
              <w:rPr>
                <w:rStyle w:val="19"/>
                <w:b w:val="0"/>
                <w:bCs/>
                <w:lang w:val="en-US" w:eastAsia="zh-CN" w:bidi="ar"/>
              </w:rPr>
              <w:t>教学变革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591C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学校制定素养立意的教学变革方案。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66B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教学变革方案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3C4D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ECE0B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DC58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3CCA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A8CB14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89660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1297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B20</w:t>
            </w:r>
            <w:r>
              <w:rPr>
                <w:rStyle w:val="19"/>
                <w:b w:val="0"/>
                <w:bCs/>
                <w:lang w:val="en-US" w:eastAsia="zh-CN" w:bidi="ar"/>
              </w:rPr>
              <w:t>实践活动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D4039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各门课程用不少于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10%</w:t>
            </w:r>
            <w:r>
              <w:rPr>
                <w:rStyle w:val="19"/>
                <w:b w:val="0"/>
                <w:bCs/>
                <w:lang w:val="en-US" w:eastAsia="zh-CN" w:bidi="ar"/>
              </w:rPr>
              <w:t>的课时开展跨学科主题学习。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C62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71C8F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C3409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448BC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DD8170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174BA4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52337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C32A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B21</w:t>
            </w:r>
            <w:r>
              <w:rPr>
                <w:rStyle w:val="19"/>
                <w:b w:val="0"/>
                <w:bCs/>
                <w:lang w:val="en-US" w:eastAsia="zh-CN" w:bidi="ar"/>
              </w:rPr>
              <w:t>项目建设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35056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积极落实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“</w:t>
            </w:r>
            <w:r>
              <w:rPr>
                <w:rStyle w:val="19"/>
                <w:b w:val="0"/>
                <w:bCs/>
                <w:lang w:val="en-US" w:eastAsia="zh-CN" w:bidi="ar"/>
              </w:rPr>
              <w:t>爱阅读行动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”“</w:t>
            </w:r>
            <w:r>
              <w:rPr>
                <w:rStyle w:val="19"/>
                <w:b w:val="0"/>
                <w:bCs/>
                <w:lang w:val="en-US" w:eastAsia="zh-CN" w:bidi="ar"/>
              </w:rPr>
              <w:t>数学家之乡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”“</w:t>
            </w:r>
            <w:r>
              <w:rPr>
                <w:rStyle w:val="19"/>
                <w:b w:val="0"/>
                <w:bCs/>
                <w:lang w:val="en-US" w:eastAsia="zh-CN" w:bidi="ar"/>
              </w:rPr>
              <w:t>科学教育加法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” </w:t>
            </w:r>
            <w:r>
              <w:rPr>
                <w:rStyle w:val="19"/>
                <w:b w:val="0"/>
                <w:bCs/>
                <w:lang w:val="en-US" w:eastAsia="zh-CN" w:bidi="ar"/>
              </w:rPr>
              <w:t>行动。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19BA3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项目建设材料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1C23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B6553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06EAF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AB405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5266DC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AC09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A8</w:t>
            </w:r>
            <w:r>
              <w:rPr>
                <w:rStyle w:val="19"/>
                <w:b w:val="0"/>
                <w:bCs/>
                <w:lang w:val="en-US" w:eastAsia="zh-CN" w:bidi="ar"/>
              </w:rPr>
              <w:t>加强教研管理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(12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C74D8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B22</w:t>
            </w:r>
            <w:r>
              <w:rPr>
                <w:rStyle w:val="19"/>
                <w:b w:val="0"/>
                <w:bCs/>
                <w:lang w:val="en-US" w:eastAsia="zh-CN" w:bidi="ar"/>
              </w:rPr>
              <w:t>教研制度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2B76A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建立教研常规及考核制度，规范教研活动；整体设计校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本研修方案。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027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教研制度、研修方案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3FB9A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9B3F7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6C2A7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89B071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29FA5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0FD71D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F2BB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B23</w:t>
            </w:r>
            <w:r>
              <w:rPr>
                <w:rStyle w:val="19"/>
                <w:b w:val="0"/>
                <w:bCs/>
                <w:lang w:val="en-US" w:eastAsia="zh-CN" w:bidi="ar"/>
              </w:rPr>
              <w:t>教研内容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4DB2A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开展教师读书活动，及时组织教育政策文件学习；学科教师每学期执教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1</w:t>
            </w:r>
            <w:r>
              <w:rPr>
                <w:rStyle w:val="19"/>
                <w:b w:val="0"/>
                <w:bCs/>
                <w:lang w:val="en-US" w:eastAsia="zh-CN" w:bidi="ar"/>
              </w:rPr>
              <w:t>节研讨课；教学管理人员每学期校内听评课不少于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20</w:t>
            </w:r>
            <w:r>
              <w:rPr>
                <w:rStyle w:val="19"/>
                <w:b w:val="0"/>
                <w:bCs/>
                <w:lang w:val="en-US" w:eastAsia="zh-CN" w:bidi="ar"/>
              </w:rPr>
              <w:t>节。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79A2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教研组材料、研讨课记录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听课笔记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7678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4A3AD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69FEC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E622F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A8C971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E40E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96E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B24</w:t>
            </w:r>
            <w:r>
              <w:rPr>
                <w:rStyle w:val="19"/>
                <w:b w:val="0"/>
                <w:bCs/>
                <w:lang w:val="en-US" w:eastAsia="zh-CN" w:bidi="ar"/>
              </w:rPr>
              <w:t>教研结对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60852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建立校内教师青蓝结对制度，注重各层次教师的培养，小规模学校成立校际学科教研组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CAC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教师结对制度、校际学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校联盟的相关活动材料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377F8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4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552B8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C80610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1283FB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56A6515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C8706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A9</w:t>
            </w:r>
            <w:r>
              <w:rPr>
                <w:rStyle w:val="19"/>
                <w:b w:val="0"/>
                <w:bCs/>
                <w:lang w:val="en-US" w:eastAsia="zh-CN" w:bidi="ar"/>
              </w:rPr>
              <w:t>建设校本资源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(6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AB4A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B25</w:t>
            </w:r>
            <w:r>
              <w:rPr>
                <w:rStyle w:val="19"/>
                <w:b w:val="0"/>
                <w:bCs/>
                <w:lang w:val="en-US" w:eastAsia="zh-CN" w:bidi="ar"/>
              </w:rPr>
              <w:t>丰富资源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C52F5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丰富教学资源形态，集纳不同类型资源。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F07ED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校本资源材料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AB01D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F44B7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AFA95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ED0F8D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A09456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A5058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6713C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B26</w:t>
            </w:r>
            <w:r>
              <w:rPr>
                <w:rStyle w:val="19"/>
                <w:b w:val="0"/>
                <w:bCs/>
                <w:lang w:val="en-US" w:eastAsia="zh-CN" w:bidi="ar"/>
              </w:rPr>
              <w:t>综合学习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3CC0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积极利用优秀网络学科资源，统筹建设智能化校本资源库。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8F618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平台运用数据校本资源库建设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4AF0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59A72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0D629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7C0458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E9CFA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DF8B09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A10</w:t>
            </w:r>
            <w:r>
              <w:rPr>
                <w:rStyle w:val="19"/>
                <w:b w:val="0"/>
                <w:bCs/>
                <w:lang w:val="en-US" w:eastAsia="zh-CN" w:bidi="ar"/>
              </w:rPr>
              <w:t>推进技术赋能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br w:type="textWrapping"/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(6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393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B27</w:t>
            </w:r>
            <w:r>
              <w:rPr>
                <w:rStyle w:val="19"/>
                <w:b w:val="0"/>
                <w:bCs/>
                <w:lang w:val="en-US" w:eastAsia="zh-CN" w:bidi="ar"/>
              </w:rPr>
              <w:t>活动项目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EE4D5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运用信息技术等手段提升教学管理效率。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5FA30D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相关智慧管理数据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数字化管理方案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5B4D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82640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FF0D35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8973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35D536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5BD88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D6FB1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B28</w:t>
            </w:r>
            <w:r>
              <w:rPr>
                <w:rStyle w:val="19"/>
                <w:b w:val="0"/>
                <w:bCs/>
                <w:lang w:val="en-US" w:eastAsia="zh-CN" w:bidi="ar"/>
              </w:rPr>
              <w:t>技术支持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C7453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构建数据驱动、基于证据、精准诊断和反馈的教科研新范式。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24CC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相关技术赋能材料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 xml:space="preserve"> </w:t>
            </w:r>
            <w:r>
              <w:rPr>
                <w:rStyle w:val="19"/>
                <w:b w:val="0"/>
                <w:bCs/>
                <w:lang w:val="en-US" w:eastAsia="zh-CN" w:bidi="ar"/>
              </w:rPr>
              <w:t>教师座谈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7CD45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3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5D241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79CFC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D5435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377D983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D16B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Style w:val="19"/>
                <w:b w:val="0"/>
                <w:bCs/>
                <w:lang w:val="en-US" w:eastAsia="zh-CN" w:bidi="ar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其他</w:t>
            </w:r>
          </w:p>
          <w:p w14:paraId="48BF9E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(</w:t>
            </w:r>
            <w:r>
              <w:rPr>
                <w:rStyle w:val="19"/>
                <w:b w:val="0"/>
                <w:bCs/>
                <w:lang w:val="en-US" w:eastAsia="zh-CN" w:bidi="ar"/>
              </w:rPr>
              <w:t>附加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10</w:t>
            </w:r>
            <w:r>
              <w:rPr>
                <w:rStyle w:val="19"/>
                <w:b w:val="0"/>
                <w:bCs/>
                <w:lang w:val="en-US" w:eastAsia="zh-CN" w:bidi="ar"/>
              </w:rPr>
              <w:t>分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)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B652C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8"/>
                <w:rFonts w:eastAsia="等线"/>
                <w:b w:val="0"/>
                <w:bCs/>
                <w:lang w:val="en-US" w:eastAsia="zh-CN" w:bidi="ar"/>
              </w:rPr>
              <w:t>B29</w:t>
            </w:r>
            <w:r>
              <w:rPr>
                <w:rStyle w:val="19"/>
                <w:b w:val="0"/>
                <w:bCs/>
                <w:lang w:val="en-US" w:eastAsia="zh-CN" w:bidi="ar"/>
              </w:rPr>
              <w:t>管理特色</w:t>
            </w:r>
          </w:p>
        </w:tc>
        <w:tc>
          <w:tcPr>
            <w:tcW w:w="371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9CBEF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Style w:val="19"/>
                <w:b w:val="0"/>
                <w:bCs/>
                <w:lang w:val="en-US" w:eastAsia="zh-CN" w:bidi="ar"/>
              </w:rPr>
              <w:t>师生积极参与教育部门组织的各级各类评比活动，成绩显著</w:t>
            </w:r>
            <w:r>
              <w:rPr>
                <w:rStyle w:val="18"/>
                <w:rFonts w:eastAsia="宋体"/>
                <w:b w:val="0"/>
                <w:bCs/>
                <w:lang w:val="en-US" w:eastAsia="zh-CN" w:bidi="ar"/>
              </w:rPr>
              <w:t>;</w:t>
            </w:r>
            <w:r>
              <w:rPr>
                <w:rStyle w:val="19"/>
                <w:b w:val="0"/>
                <w:bCs/>
                <w:lang w:val="en-US" w:eastAsia="zh-CN" w:bidi="ar"/>
              </w:rPr>
              <w:t>学校教育教学研究项目在区域内有一定的辐射力。</w:t>
            </w:r>
          </w:p>
        </w:tc>
        <w:tc>
          <w:tcPr>
            <w:tcW w:w="171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728ED9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相关佐证材料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405C6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10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A986D3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F3588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13B4A2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lef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62D474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F4125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评议总结</w:t>
            </w: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23B0C1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总分</w:t>
            </w:r>
          </w:p>
        </w:tc>
        <w:tc>
          <w:tcPr>
            <w:tcW w:w="5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41A42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A53C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110</w:t>
            </w: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8CCE9A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1209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1B65D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713BF42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D1FC63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05821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亮点</w:t>
            </w:r>
          </w:p>
        </w:tc>
        <w:tc>
          <w:tcPr>
            <w:tcW w:w="5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16E851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472C0F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32CFC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9B8F12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51B5A5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  <w:tr w14:paraId="21F844A8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4" w:hRule="atLeast"/>
          <w:jc w:val="center"/>
        </w:trPr>
        <w:tc>
          <w:tcPr>
            <w:tcW w:w="121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99D22A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14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4E2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/>
                <w:i w:val="0"/>
                <w:iCs w:val="0"/>
                <w:color w:val="000000"/>
                <w:kern w:val="0"/>
                <w:sz w:val="20"/>
                <w:szCs w:val="20"/>
                <w:u w:val="none"/>
                <w:lang w:val="en-US" w:eastAsia="zh-CN" w:bidi="ar"/>
              </w:rPr>
              <w:t>建议</w:t>
            </w:r>
          </w:p>
        </w:tc>
        <w:tc>
          <w:tcPr>
            <w:tcW w:w="5425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4F57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8405A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jc w:val="center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D465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5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EFD32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  <w:tc>
          <w:tcPr>
            <w:tcW w:w="60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E92CD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exact"/>
              <w:rPr>
                <w:rFonts w:hint="default" w:ascii="Times New Roman" w:hAnsi="Times New Roman" w:eastAsia="等线" w:cs="Times New Roman"/>
                <w:b w:val="0"/>
                <w:bCs/>
                <w:i w:val="0"/>
                <w:iCs w:val="0"/>
                <w:color w:val="000000"/>
                <w:sz w:val="20"/>
                <w:szCs w:val="20"/>
                <w:u w:val="none"/>
              </w:rPr>
            </w:pPr>
          </w:p>
        </w:tc>
      </w:tr>
    </w:tbl>
    <w:p w14:paraId="669C5914">
      <w:pPr>
        <w:jc w:val="left"/>
        <w:rPr>
          <w:bCs/>
        </w:rPr>
      </w:pPr>
    </w:p>
    <w:sectPr>
      <w:footerReference r:id="rId3" w:type="default"/>
      <w:footerReference r:id="rId4" w:type="even"/>
      <w:pgSz w:w="11906" w:h="16838"/>
      <w:pgMar w:top="2098" w:right="1417" w:bottom="1984" w:left="1417" w:header="851" w:footer="1587" w:gutter="0"/>
      <w:pgBorders>
        <w:top w:val="none" w:sz="0" w:space="0"/>
        <w:left w:val="none" w:sz="0" w:space="0"/>
        <w:bottom w:val="none" w:sz="0" w:space="0"/>
        <w:right w:val="none" w:sz="0" w:space="0"/>
      </w:pgBorders>
      <w:pgNumType w:fmt="decimal"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31074C9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69496D48">
                          <w:pPr>
                            <w:pStyle w:val="3"/>
                            <w:rPr>
                              <w:rFonts w:hint="eastAsia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Brhfn7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69496D48">
                    <w:pPr>
                      <w:pStyle w:val="3"/>
                      <w:rPr>
                        <w:rFonts w:hint="eastAsia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6AB4E39C">
    <w:pPr>
      <w:pStyle w:val="3"/>
    </w:pPr>
    <w:r>
      <w:rPr>
        <w:sz w:val="18"/>
      </w:rPr>
      <mc:AlternateContent>
        <mc:Choice Requires="wps">
          <w:drawing>
            <wp:anchor distT="0" distB="0" distL="114300" distR="114300" simplePos="0" relativeHeight="251660288" behindDoc="0" locked="0" layoutInCell="1" allowOverlap="1">
              <wp:simplePos x="0" y="0"/>
              <wp:positionH relativeFrom="margin">
                <wp:align>outside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14:paraId="36B0F787">
                          <w:pPr>
                            <w:pStyle w:val="3"/>
                            <w:rPr>
                              <w:rFonts w:hint="eastAsia" w:ascii="Times New Roman" w:hAnsi="Times New Roman" w:eastAsia="宋体" w:cs="Times New Roman"/>
                              <w:sz w:val="28"/>
                              <w:szCs w:val="28"/>
                              <w:lang w:eastAsia="zh-CN"/>
                            </w:rPr>
                          </w:pP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t>2</w:t>
                          </w:r>
                          <w:r>
                            <w:rPr>
                              <w:rFonts w:hint="default" w:ascii="Times New Roman" w:hAnsi="Times New Roman" w:cs="Times New Roman"/>
                              <w:sz w:val="28"/>
                              <w:szCs w:val="28"/>
                            </w:rPr>
                            <w:fldChar w:fldCharType="end"/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val="en-US" w:eastAsia="zh-CN"/>
                            </w:rPr>
                            <w:t xml:space="preserve"> </w:t>
                          </w:r>
                          <w:r>
                            <w:rPr>
                              <w:rFonts w:hint="eastAsia" w:ascii="Times New Roman" w:hAnsi="Times New Roman" w:cs="Times New Roman"/>
                              <w:sz w:val="28"/>
                              <w:szCs w:val="28"/>
                              <w:lang w:eastAsia="zh-CN"/>
                            </w:rPr>
                            <w:t>－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outside;mso-position-horizontal-relative:margin;mso-wrap-style:none;z-index:251660288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 w14:paraId="36B0F787">
                    <w:pPr>
                      <w:pStyle w:val="3"/>
                      <w:rPr>
                        <w:rFonts w:hint="eastAsia" w:ascii="Times New Roman" w:hAnsi="Times New Roman" w:eastAsia="宋体" w:cs="Times New Roman"/>
                        <w:sz w:val="28"/>
                        <w:szCs w:val="28"/>
                        <w:lang w:eastAsia="zh-CN"/>
                      </w:rPr>
                    </w:pP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－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t>2</w:t>
                    </w:r>
                    <w:r>
                      <w:rPr>
                        <w:rFonts w:hint="default" w:ascii="Times New Roman" w:hAnsi="Times New Roman" w:cs="Times New Roman"/>
                        <w:sz w:val="28"/>
                        <w:szCs w:val="28"/>
                      </w:rPr>
                      <w:fldChar w:fldCharType="end"/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val="en-US" w:eastAsia="zh-CN"/>
                      </w:rPr>
                      <w:t xml:space="preserve"> </w:t>
                    </w:r>
                    <w:r>
                      <w:rPr>
                        <w:rFonts w:hint="eastAsia" w:ascii="Times New Roman" w:hAnsi="Times New Roman" w:cs="Times New Roman"/>
                        <w:sz w:val="28"/>
                        <w:szCs w:val="28"/>
                        <w:lang w:eastAsia="zh-CN"/>
                      </w:rPr>
                      <w:t>－</w:t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view w:val="normal"/>
  <w:zoom w:val="bestFit" w:percent="218"/>
  <w:bordersDoNotSurroundHeader w:val="0"/>
  <w:bordersDoNotSurroundFooter w:val="0"/>
  <w:documentProtection w:enforcement="0"/>
  <w:defaultTabStop w:val="420"/>
  <w:evenAndOddHeaders w:val="1"/>
  <w:drawingGridHorizontalSpacing w:val="105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jBmMTc5NWM0M2ZkYmZmMDVmZTMxMjdiMzQ3ZGQ1NDkifQ=="/>
  </w:docVars>
  <w:rsids>
    <w:rsidRoot w:val="0094532B"/>
    <w:rsid w:val="00074F47"/>
    <w:rsid w:val="000E4DF0"/>
    <w:rsid w:val="000E5C48"/>
    <w:rsid w:val="000F76B2"/>
    <w:rsid w:val="00195EF5"/>
    <w:rsid w:val="00203747"/>
    <w:rsid w:val="00244198"/>
    <w:rsid w:val="002472C3"/>
    <w:rsid w:val="00375964"/>
    <w:rsid w:val="003C0AD5"/>
    <w:rsid w:val="003D37C0"/>
    <w:rsid w:val="00423E79"/>
    <w:rsid w:val="00442EE5"/>
    <w:rsid w:val="00462476"/>
    <w:rsid w:val="004A3193"/>
    <w:rsid w:val="004B14D7"/>
    <w:rsid w:val="00510A67"/>
    <w:rsid w:val="00524E4E"/>
    <w:rsid w:val="005664CB"/>
    <w:rsid w:val="005928F4"/>
    <w:rsid w:val="005A1559"/>
    <w:rsid w:val="005C6720"/>
    <w:rsid w:val="006701D3"/>
    <w:rsid w:val="006F5039"/>
    <w:rsid w:val="007130C3"/>
    <w:rsid w:val="007A3B1D"/>
    <w:rsid w:val="007C3E2F"/>
    <w:rsid w:val="00811802"/>
    <w:rsid w:val="008946FB"/>
    <w:rsid w:val="008F524E"/>
    <w:rsid w:val="009004C9"/>
    <w:rsid w:val="0094532B"/>
    <w:rsid w:val="0099746B"/>
    <w:rsid w:val="009C6087"/>
    <w:rsid w:val="009F732C"/>
    <w:rsid w:val="00A4640A"/>
    <w:rsid w:val="00A56DD9"/>
    <w:rsid w:val="00B14E51"/>
    <w:rsid w:val="00BE559B"/>
    <w:rsid w:val="00BF45B2"/>
    <w:rsid w:val="00C72F13"/>
    <w:rsid w:val="00CA73E4"/>
    <w:rsid w:val="00D27C94"/>
    <w:rsid w:val="00D70772"/>
    <w:rsid w:val="00DC440B"/>
    <w:rsid w:val="00DF5914"/>
    <w:rsid w:val="00E438D4"/>
    <w:rsid w:val="00E5108D"/>
    <w:rsid w:val="00EB144F"/>
    <w:rsid w:val="00EF7643"/>
    <w:rsid w:val="00F1601F"/>
    <w:rsid w:val="00FF44D0"/>
    <w:rsid w:val="044E4DE4"/>
    <w:rsid w:val="05B72980"/>
    <w:rsid w:val="068354B7"/>
    <w:rsid w:val="06FF6EB0"/>
    <w:rsid w:val="08316D1A"/>
    <w:rsid w:val="0AF04D3A"/>
    <w:rsid w:val="0AFA13CC"/>
    <w:rsid w:val="0FE5326D"/>
    <w:rsid w:val="12056439"/>
    <w:rsid w:val="125D0492"/>
    <w:rsid w:val="12A14762"/>
    <w:rsid w:val="12F613B7"/>
    <w:rsid w:val="1432153D"/>
    <w:rsid w:val="14D21EC3"/>
    <w:rsid w:val="15917F8D"/>
    <w:rsid w:val="15B83B23"/>
    <w:rsid w:val="166850D4"/>
    <w:rsid w:val="183936EF"/>
    <w:rsid w:val="18DC2323"/>
    <w:rsid w:val="1A431530"/>
    <w:rsid w:val="1ACA19E1"/>
    <w:rsid w:val="1B7725E1"/>
    <w:rsid w:val="1E3A59D5"/>
    <w:rsid w:val="1FFD480B"/>
    <w:rsid w:val="2148459B"/>
    <w:rsid w:val="22A35604"/>
    <w:rsid w:val="23EB346C"/>
    <w:rsid w:val="279D5BEF"/>
    <w:rsid w:val="28C167D3"/>
    <w:rsid w:val="29092402"/>
    <w:rsid w:val="2A741F0B"/>
    <w:rsid w:val="2B0B5ACD"/>
    <w:rsid w:val="2B3E66A7"/>
    <w:rsid w:val="2CE613CE"/>
    <w:rsid w:val="2D6A589C"/>
    <w:rsid w:val="34CB5C9A"/>
    <w:rsid w:val="359C5862"/>
    <w:rsid w:val="377D109A"/>
    <w:rsid w:val="386C209B"/>
    <w:rsid w:val="388777B3"/>
    <w:rsid w:val="391753C8"/>
    <w:rsid w:val="4444056C"/>
    <w:rsid w:val="447F21D5"/>
    <w:rsid w:val="454D5143"/>
    <w:rsid w:val="458C3639"/>
    <w:rsid w:val="45BE51B0"/>
    <w:rsid w:val="48AB4BD5"/>
    <w:rsid w:val="4B123759"/>
    <w:rsid w:val="4BD86777"/>
    <w:rsid w:val="4C4335D0"/>
    <w:rsid w:val="4F823AD6"/>
    <w:rsid w:val="538B6235"/>
    <w:rsid w:val="572A41B4"/>
    <w:rsid w:val="5B1D0336"/>
    <w:rsid w:val="5C526827"/>
    <w:rsid w:val="5E566BD6"/>
    <w:rsid w:val="5F2300AC"/>
    <w:rsid w:val="5FE621D7"/>
    <w:rsid w:val="60CA3399"/>
    <w:rsid w:val="61137C66"/>
    <w:rsid w:val="65A14B02"/>
    <w:rsid w:val="65AE4F6C"/>
    <w:rsid w:val="67D340A0"/>
    <w:rsid w:val="696E2A8C"/>
    <w:rsid w:val="6A0A17BB"/>
    <w:rsid w:val="6AF8D10A"/>
    <w:rsid w:val="6B800AF6"/>
    <w:rsid w:val="6D102A23"/>
    <w:rsid w:val="6D677BAD"/>
    <w:rsid w:val="6E5C1A72"/>
    <w:rsid w:val="6EB1510F"/>
    <w:rsid w:val="6EBD20A8"/>
    <w:rsid w:val="6ECF30F5"/>
    <w:rsid w:val="6F0F0AC7"/>
    <w:rsid w:val="6FF87925"/>
    <w:rsid w:val="701667CD"/>
    <w:rsid w:val="705B68E9"/>
    <w:rsid w:val="72030517"/>
    <w:rsid w:val="730E0DF1"/>
    <w:rsid w:val="74021804"/>
    <w:rsid w:val="751666E8"/>
    <w:rsid w:val="760223E4"/>
    <w:rsid w:val="767D2A17"/>
    <w:rsid w:val="789040DF"/>
    <w:rsid w:val="799906FA"/>
    <w:rsid w:val="79FD4447"/>
    <w:rsid w:val="7AD80A7B"/>
    <w:rsid w:val="7BDE789A"/>
    <w:rsid w:val="7C7E205A"/>
    <w:rsid w:val="7CE002A2"/>
    <w:rsid w:val="7F994EE9"/>
    <w:rsid w:val="7FA966AD"/>
    <w:rsid w:val="B17B7B40"/>
    <w:rsid w:val="FCFC6295"/>
    <w:rsid w:val="FFF744BC"/>
    <w:rsid w:val="FFFB809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qFormat="1" w:unhideWhenUsed="0" w:uiPriority="59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Arial"/>
      <w:kern w:val="2"/>
      <w:sz w:val="21"/>
      <w:szCs w:val="22"/>
      <w:lang w:val="en-US" w:eastAsia="zh-CN" w:bidi="ar-SA"/>
    </w:rPr>
  </w:style>
  <w:style w:type="character" w:default="1" w:styleId="7">
    <w:name w:val="Default Paragraph Font"/>
    <w:semiHidden/>
    <w:unhideWhenUsed/>
    <w:qFormat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"/>
    <w:basedOn w:val="1"/>
    <w:semiHidden/>
    <w:qFormat/>
    <w:uiPriority w:val="0"/>
    <w:rPr>
      <w:rFonts w:ascii="黑体" w:hAnsi="黑体" w:eastAsia="黑体" w:cs="黑体"/>
      <w:sz w:val="25"/>
      <w:szCs w:val="25"/>
      <w:lang w:val="en-US" w:eastAsia="en-US" w:bidi="ar-SA"/>
    </w:rPr>
  </w:style>
  <w:style w:type="paragraph" w:styleId="3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4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table" w:styleId="6">
    <w:name w:val="Table Grid"/>
    <w:basedOn w:val="5"/>
    <w:qFormat/>
    <w:uiPriority w:val="59"/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</w:tblPr>
  </w:style>
  <w:style w:type="paragraph" w:styleId="8">
    <w:name w:val="List Paragraph"/>
    <w:basedOn w:val="1"/>
    <w:qFormat/>
    <w:uiPriority w:val="34"/>
    <w:pPr>
      <w:ind w:firstLine="420" w:firstLineChars="200"/>
    </w:pPr>
  </w:style>
  <w:style w:type="character" w:customStyle="1" w:styleId="9">
    <w:name w:val="font2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  <w:style w:type="character" w:customStyle="1" w:styleId="10">
    <w:name w:val="font31"/>
    <w:basedOn w:val="7"/>
    <w:qFormat/>
    <w:uiPriority w:val="0"/>
    <w:rPr>
      <w:rFonts w:hint="default" w:ascii="Calibri" w:hAnsi="Calibri" w:cs="Calibri"/>
      <w:color w:val="000000"/>
      <w:sz w:val="20"/>
      <w:szCs w:val="20"/>
      <w:u w:val="none"/>
    </w:rPr>
  </w:style>
  <w:style w:type="character" w:customStyle="1" w:styleId="11">
    <w:name w:val="font41"/>
    <w:basedOn w:val="7"/>
    <w:qFormat/>
    <w:uiPriority w:val="0"/>
    <w:rPr>
      <w:rFonts w:ascii="仿宋" w:hAnsi="仿宋" w:eastAsia="仿宋" w:cs="仿宋"/>
      <w:color w:val="000000"/>
      <w:sz w:val="20"/>
      <w:szCs w:val="20"/>
      <w:u w:val="none"/>
    </w:rPr>
  </w:style>
  <w:style w:type="character" w:customStyle="1" w:styleId="12">
    <w:name w:val="font11"/>
    <w:basedOn w:val="7"/>
    <w:qFormat/>
    <w:uiPriority w:val="0"/>
    <w:rPr>
      <w:rFonts w:hint="eastAsia" w:ascii="等线" w:hAnsi="等线" w:eastAsia="等线" w:cs="等线"/>
      <w:color w:val="000000"/>
      <w:sz w:val="20"/>
      <w:szCs w:val="20"/>
      <w:u w:val="none"/>
    </w:rPr>
  </w:style>
  <w:style w:type="character" w:customStyle="1" w:styleId="13">
    <w:name w:val="font51"/>
    <w:basedOn w:val="7"/>
    <w:qFormat/>
    <w:uiPriority w:val="0"/>
    <w:rPr>
      <w:rFonts w:hint="eastAsia" w:ascii="宋体" w:hAnsi="宋体" w:eastAsia="宋体" w:cs="宋体"/>
      <w:color w:val="000000"/>
      <w:sz w:val="18"/>
      <w:szCs w:val="18"/>
      <w:u w:val="none"/>
    </w:rPr>
  </w:style>
  <w:style w:type="character" w:customStyle="1" w:styleId="14">
    <w:name w:val="font81"/>
    <w:basedOn w:val="7"/>
    <w:qFormat/>
    <w:uiPriority w:val="0"/>
    <w:rPr>
      <w:rFonts w:hint="eastAsia" w:ascii="宋体" w:hAnsi="宋体" w:eastAsia="宋体" w:cs="宋体"/>
      <w:color w:val="FF0000"/>
      <w:sz w:val="18"/>
      <w:szCs w:val="18"/>
      <w:u w:val="none"/>
    </w:rPr>
  </w:style>
  <w:style w:type="character" w:customStyle="1" w:styleId="15">
    <w:name w:val="font6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6">
    <w:name w:val="font112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single"/>
    </w:rPr>
  </w:style>
  <w:style w:type="character" w:customStyle="1" w:styleId="17">
    <w:name w:val="font121"/>
    <w:basedOn w:val="7"/>
    <w:qFormat/>
    <w:uiPriority w:val="0"/>
    <w:rPr>
      <w:rFonts w:hint="eastAsia" w:ascii="宋体" w:hAnsi="宋体" w:eastAsia="宋体" w:cs="宋体"/>
      <w:b/>
      <w:bCs/>
      <w:color w:val="000000"/>
      <w:sz w:val="20"/>
      <w:szCs w:val="20"/>
      <w:u w:val="none"/>
    </w:rPr>
  </w:style>
  <w:style w:type="character" w:customStyle="1" w:styleId="18">
    <w:name w:val="font91"/>
    <w:basedOn w:val="7"/>
    <w:qFormat/>
    <w:uiPriority w:val="0"/>
    <w:rPr>
      <w:rFonts w:hint="default" w:ascii="Times New Roman" w:hAnsi="Times New Roman" w:cs="Times New Roman"/>
      <w:color w:val="000000"/>
      <w:sz w:val="20"/>
      <w:szCs w:val="20"/>
      <w:u w:val="none"/>
    </w:rPr>
  </w:style>
  <w:style w:type="character" w:customStyle="1" w:styleId="19">
    <w:name w:val="font71"/>
    <w:basedOn w:val="7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/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Pages>4</Pages>
  <Words>2377</Words>
  <Characters>2482</Characters>
  <Lines>1</Lines>
  <Paragraphs>1</Paragraphs>
  <TotalTime>7</TotalTime>
  <ScaleCrop>false</ScaleCrop>
  <LinksUpToDate>false</LinksUpToDate>
  <CharactersWithSpaces>2649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2022-03-10T03:10:00Z</dcterms:created>
  <dc:creator>DBY-W09</dc:creator>
  <cp:lastModifiedBy>丹</cp:lastModifiedBy>
  <cp:lastPrinted>2026-09-10T09:27:00Z</cp:lastPrinted>
  <dcterms:modified xsi:type="dcterms:W3CDTF">2026-09-14T09:10:09Z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DED3016B771A40408FB61A67FD161881</vt:lpwstr>
  </property>
  <property fmtid="{D5CDD505-2E9C-101B-9397-08002B2CF9AE}" pid="3" name="KSOProductBuildVer">
    <vt:lpwstr>2052-12.1.0.28505</vt:lpwstr>
  </property>
  <property fmtid="{D5CDD505-2E9C-101B-9397-08002B2CF9AE}" pid="4" name="woTemplateTypoMode" linkTarget="0">
    <vt:lpwstr>web</vt:lpwstr>
  </property>
  <property fmtid="{D5CDD505-2E9C-101B-9397-08002B2CF9AE}" pid="5" name="woTemplate" linkTarget="0">
    <vt:i4>1</vt:i4>
  </property>
  <property fmtid="{D5CDD505-2E9C-101B-9397-08002B2CF9AE}" pid="6" name="KSOTemplateDocerSaveRecord">
    <vt:lpwstr>eyJoZGlkIjoiNjIwNzYxNzEzMDE3MDQwZDg2NWUyYjZhMzdhYTliZDciLCJ1c2VySWQiOiI3MTc3ODY2MTUifQ==</vt:lpwstr>
  </property>
</Properties>
</file>